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0" w:after="60"/>
        <w:jc w:val="center"/>
        <w:rPr>
          <w:rFonts w:ascii="Times New Roman" w:hAnsi="Times New Roman"/>
        </w:rPr>
      </w:pPr>
      <w:r>
        <w:rPr>
          <w:b/>
          <w:iCs/>
          <w:sz w:val="22"/>
          <w:szCs w:val="22"/>
          <w:lang w:val="sr-CS"/>
        </w:rPr>
        <w:t>Табела. 9.</w:t>
      </w:r>
      <w:r>
        <w:rPr>
          <w:b/>
          <w:iCs/>
          <w:sz w:val="22"/>
          <w:szCs w:val="22"/>
        </w:rPr>
        <w:t>8</w:t>
      </w:r>
      <w:r>
        <w:rPr>
          <w:iCs/>
          <w:sz w:val="22"/>
          <w:szCs w:val="22"/>
          <w:lang w:val="sr-CS"/>
        </w:rPr>
        <w:t xml:space="preserve"> Компетентност ментора</w:t>
      </w:r>
    </w:p>
    <w:tbl>
      <w:tblPr>
        <w:tblW w:w="9900" w:type="dxa"/>
        <w:jc w:val="left"/>
        <w:tblInd w:w="-342" w:type="dxa"/>
        <w:tblCellMar>
          <w:top w:w="0" w:type="dxa"/>
          <w:left w:w="108" w:type="dxa"/>
          <w:bottom w:w="0" w:type="dxa"/>
          <w:right w:w="108" w:type="dxa"/>
        </w:tblCellMar>
        <w:tblLook w:val="01e0"/>
      </w:tblPr>
      <w:tblGrid>
        <w:gridCol w:w="450"/>
        <w:gridCol w:w="2610"/>
        <w:gridCol w:w="990"/>
        <w:gridCol w:w="239"/>
        <w:gridCol w:w="1831"/>
        <w:gridCol w:w="900"/>
        <w:gridCol w:w="90"/>
        <w:gridCol w:w="1348"/>
        <w:gridCol w:w="269"/>
        <w:gridCol w:w="1173"/>
      </w:tblGrid>
      <w:tr>
        <w:trPr>
          <w:trHeight w:val="227" w:hRule="atLeast"/>
        </w:trPr>
        <w:tc>
          <w:tcPr>
            <w:tcW w:w="4289" w:type="dxa"/>
            <w:gridSpan w:val="4"/>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lang w:val="sr-CS"/>
              </w:rPr>
              <w:t>Име и презиме</w:t>
            </w:r>
          </w:p>
        </w:tc>
        <w:tc>
          <w:tcPr>
            <w:tcW w:w="5611"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Дарко Танасковић</w:t>
            </w:r>
          </w:p>
        </w:tc>
      </w:tr>
      <w:tr>
        <w:trPr>
          <w:trHeight w:val="227" w:hRule="atLeast"/>
        </w:trPr>
        <w:tc>
          <w:tcPr>
            <w:tcW w:w="4289" w:type="dxa"/>
            <w:gridSpan w:val="4"/>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lang w:val="sr-CS"/>
              </w:rPr>
              <w:t>Звање</w:t>
            </w:r>
          </w:p>
        </w:tc>
        <w:tc>
          <w:tcPr>
            <w:tcW w:w="5611"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научни саветник</w:t>
            </w:r>
          </w:p>
        </w:tc>
      </w:tr>
      <w:tr>
        <w:trPr>
          <w:trHeight w:val="227" w:hRule="atLeast"/>
        </w:trPr>
        <w:tc>
          <w:tcPr>
            <w:tcW w:w="4289" w:type="dxa"/>
            <w:gridSpan w:val="4"/>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lang w:val="sr-CS"/>
              </w:rPr>
              <w:t>Ужа научна, уметничка односно стручна  област</w:t>
            </w:r>
          </w:p>
        </w:tc>
        <w:tc>
          <w:tcPr>
            <w:tcW w:w="5611"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физика кондензоване материје и статистичка физика</w:t>
            </w:r>
          </w:p>
        </w:tc>
      </w:tr>
      <w:tr>
        <w:trPr>
          <w:trHeight w:val="227" w:hRule="atLeast"/>
        </w:trPr>
        <w:tc>
          <w:tcPr>
            <w:tcW w:w="306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lang w:val="sr-CS"/>
              </w:rPr>
              <w:t>Академска каријера</w:t>
            </w:r>
          </w:p>
        </w:tc>
        <w:tc>
          <w:tcPr>
            <w:tcW w:w="1229"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 xml:space="preserve">Година </w:t>
            </w:r>
          </w:p>
        </w:tc>
        <w:tc>
          <w:tcPr>
            <w:tcW w:w="2731"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 xml:space="preserve">Институција </w:t>
            </w:r>
          </w:p>
        </w:tc>
        <w:tc>
          <w:tcPr>
            <w:tcW w:w="2880" w:type="dxa"/>
            <w:gridSpan w:val="4"/>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 xml:space="preserve">Ужа научна, уметничка односно стручна област </w:t>
            </w:r>
          </w:p>
        </w:tc>
      </w:tr>
      <w:tr>
        <w:trPr>
          <w:trHeight w:val="227" w:hRule="atLeast"/>
        </w:trPr>
        <w:tc>
          <w:tcPr>
            <w:tcW w:w="306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Избор у звање</w:t>
            </w:r>
          </w:p>
        </w:tc>
        <w:tc>
          <w:tcPr>
            <w:tcW w:w="1229"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2018</w:t>
            </w:r>
          </w:p>
        </w:tc>
        <w:tc>
          <w:tcPr>
            <w:tcW w:w="2731"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val="false"/>
                <w:i w:val="false"/>
                <w:strike w:val="false"/>
                <w:dstrike w:val="false"/>
                <w:outline w:val="false"/>
                <w:shadow w:val="false"/>
                <w:sz w:val="20"/>
                <w:u w:val="none"/>
                <w:em w:val="none"/>
                <w:lang w:val="sr-CS"/>
              </w:rPr>
              <w:t>Институт за физику у Београду</w:t>
            </w:r>
          </w:p>
        </w:tc>
        <w:tc>
          <w:tcPr>
            <w:tcW w:w="2880" w:type="dxa"/>
            <w:gridSpan w:val="4"/>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val="false"/>
                <w:i w:val="false"/>
                <w:strike w:val="false"/>
                <w:dstrike w:val="false"/>
                <w:outline w:val="false"/>
                <w:shadow w:val="false"/>
                <w:sz w:val="20"/>
                <w:u w:val="none"/>
                <w:em w:val="none"/>
                <w:lang w:val="sr-CS"/>
              </w:rPr>
              <w:t>физика кондензоване материје и статистичка физика</w:t>
            </w:r>
          </w:p>
        </w:tc>
      </w:tr>
      <w:tr>
        <w:trPr>
          <w:trHeight w:val="227" w:hRule="atLeast"/>
        </w:trPr>
        <w:tc>
          <w:tcPr>
            <w:tcW w:w="306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Докторат</w:t>
            </w:r>
          </w:p>
        </w:tc>
        <w:tc>
          <w:tcPr>
            <w:tcW w:w="1229"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2005</w:t>
            </w:r>
          </w:p>
        </w:tc>
        <w:tc>
          <w:tcPr>
            <w:tcW w:w="2731"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val="false"/>
                <w:i w:val="false"/>
                <w:strike w:val="false"/>
                <w:dstrike w:val="false"/>
                <w:outline w:val="false"/>
                <w:shadow w:val="false"/>
                <w:sz w:val="20"/>
                <w:u w:val="none"/>
                <w:em w:val="none"/>
                <w:lang w:val="sr-CS"/>
              </w:rPr>
              <w:t>Државни универзитет Флориде, САД</w:t>
            </w:r>
          </w:p>
        </w:tc>
        <w:tc>
          <w:tcPr>
            <w:tcW w:w="2880" w:type="dxa"/>
            <w:gridSpan w:val="4"/>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val="false"/>
                <w:i w:val="false"/>
                <w:strike w:val="false"/>
                <w:dstrike w:val="false"/>
                <w:outline w:val="false"/>
                <w:shadow w:val="false"/>
                <w:sz w:val="20"/>
                <w:u w:val="none"/>
                <w:em w:val="none"/>
                <w:lang w:val="sr-CS"/>
              </w:rPr>
              <w:t>физика кондензоване материје и статистичка физика</w:t>
            </w:r>
          </w:p>
        </w:tc>
      </w:tr>
      <w:tr>
        <w:trPr>
          <w:trHeight w:val="227" w:hRule="atLeast"/>
        </w:trPr>
        <w:tc>
          <w:tcPr>
            <w:tcW w:w="306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t>Магистратура</w:t>
            </w:r>
          </w:p>
        </w:tc>
        <w:tc>
          <w:tcPr>
            <w:tcW w:w="1229"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2000</w:t>
            </w:r>
          </w:p>
        </w:tc>
        <w:tc>
          <w:tcPr>
            <w:tcW w:w="2731"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val="false"/>
                <w:i w:val="false"/>
                <w:strike w:val="false"/>
                <w:dstrike w:val="false"/>
                <w:outline w:val="false"/>
                <w:shadow w:val="false"/>
                <w:sz w:val="20"/>
                <w:u w:val="none"/>
                <w:em w:val="none"/>
                <w:lang w:val="sr-CS"/>
              </w:rPr>
              <w:t>Физички факултет, Универзитет у Београду</w:t>
            </w:r>
          </w:p>
        </w:tc>
        <w:tc>
          <w:tcPr>
            <w:tcW w:w="2880" w:type="dxa"/>
            <w:gridSpan w:val="4"/>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val="false"/>
                <w:i w:val="false"/>
                <w:strike w:val="false"/>
                <w:dstrike w:val="false"/>
                <w:outline w:val="false"/>
                <w:shadow w:val="false"/>
                <w:sz w:val="20"/>
                <w:u w:val="none"/>
                <w:em w:val="none"/>
                <w:lang w:val="sr-CS"/>
              </w:rPr>
              <w:t>физика кондензоване материје и статистичка физика</w:t>
            </w:r>
          </w:p>
        </w:tc>
      </w:tr>
      <w:tr>
        <w:trPr>
          <w:trHeight w:val="227" w:hRule="atLeast"/>
        </w:trPr>
        <w:tc>
          <w:tcPr>
            <w:tcW w:w="306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t>Мастер диплома</w:t>
            </w:r>
          </w:p>
        </w:tc>
        <w:tc>
          <w:tcPr>
            <w:tcW w:w="1229"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lang w:val="sr-CS"/>
              </w:rPr>
            </w:pPr>
            <w:r>
              <w:rPr>
                <w:lang w:val="sr-CS"/>
              </w:rPr>
            </w:r>
          </w:p>
        </w:tc>
        <w:tc>
          <w:tcPr>
            <w:tcW w:w="2731"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lang w:val="sr-CS"/>
              </w:rPr>
            </w:pPr>
            <w:r>
              <w:rPr>
                <w:lang w:val="sr-CS"/>
              </w:rPr>
            </w:r>
          </w:p>
        </w:tc>
        <w:tc>
          <w:tcPr>
            <w:tcW w:w="2880" w:type="dxa"/>
            <w:gridSpan w:val="4"/>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lang w:val="sr-CS"/>
              </w:rPr>
            </w:pPr>
            <w:r>
              <w:rPr>
                <w:lang w:val="sr-CS"/>
              </w:rPr>
            </w:r>
          </w:p>
        </w:tc>
      </w:tr>
      <w:tr>
        <w:trPr>
          <w:trHeight w:val="227" w:hRule="atLeast"/>
        </w:trPr>
        <w:tc>
          <w:tcPr>
            <w:tcW w:w="306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Диплома</w:t>
            </w:r>
          </w:p>
        </w:tc>
        <w:tc>
          <w:tcPr>
            <w:tcW w:w="1229"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1996</w:t>
            </w:r>
          </w:p>
        </w:tc>
        <w:tc>
          <w:tcPr>
            <w:tcW w:w="2731"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val="false"/>
                <w:i w:val="false"/>
                <w:strike w:val="false"/>
                <w:dstrike w:val="false"/>
                <w:outline w:val="false"/>
                <w:shadow w:val="false"/>
                <w:sz w:val="20"/>
                <w:u w:val="none"/>
                <w:em w:val="none"/>
                <w:lang w:val="sr-CS"/>
              </w:rPr>
              <w:t>Физички факултет, Универзитет у Београду</w:t>
            </w:r>
          </w:p>
        </w:tc>
        <w:tc>
          <w:tcPr>
            <w:tcW w:w="2880" w:type="dxa"/>
            <w:gridSpan w:val="4"/>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val="false"/>
                <w:i w:val="false"/>
                <w:strike w:val="false"/>
                <w:dstrike w:val="false"/>
                <w:outline w:val="false"/>
                <w:shadow w:val="false"/>
                <w:sz w:val="20"/>
                <w:u w:val="none"/>
                <w:em w:val="none"/>
                <w:lang w:val="sr-CS"/>
              </w:rPr>
              <w:t>физика кондензоване материје и статистичка физика</w:t>
            </w:r>
          </w:p>
        </w:tc>
      </w:tr>
      <w:tr>
        <w:trPr>
          <w:trHeight w:val="227" w:hRule="atLeast"/>
        </w:trPr>
        <w:tc>
          <w:tcPr>
            <w:tcW w:w="9900" w:type="dxa"/>
            <w:gridSpan w:val="10"/>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lang w:val="sr-CS"/>
              </w:rPr>
              <w:t>Списак дисертација</w:t>
            </w:r>
            <w:r>
              <w:rPr>
                <w:b/>
              </w:rPr>
              <w:t xml:space="preserve">-докторских уметничких пројеката </w:t>
            </w:r>
            <w:r>
              <w:rPr>
                <w:b/>
                <w:lang w:val="sr-CS"/>
              </w:rPr>
              <w:t>а у којима је наставнк ментор или је био ментор у претходних 10 година</w:t>
            </w:r>
          </w:p>
        </w:tc>
      </w:tr>
      <w:tr>
        <w:trPr>
          <w:trHeight w:val="227" w:hRule="atLeast"/>
        </w:trPr>
        <w:tc>
          <w:tcPr>
            <w:tcW w:w="450"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Р.Б.</w:t>
            </w:r>
          </w:p>
        </w:tc>
        <w:tc>
          <w:tcPr>
            <w:tcW w:w="360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Наслов дисертације</w:t>
            </w:r>
            <w:r>
              <w:rPr/>
              <w:t xml:space="preserve">- докторског уметничког пројекта </w:t>
            </w:r>
          </w:p>
        </w:tc>
        <w:tc>
          <w:tcPr>
            <w:tcW w:w="3060" w:type="dxa"/>
            <w:gridSpan w:val="4"/>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Име кандидата</w:t>
            </w:r>
          </w:p>
        </w:tc>
        <w:tc>
          <w:tcPr>
            <w:tcW w:w="134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 xml:space="preserve">*пријављена </w:t>
            </w:r>
          </w:p>
        </w:tc>
        <w:tc>
          <w:tcPr>
            <w:tcW w:w="1442"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 одбрањена</w:t>
            </w:r>
          </w:p>
        </w:tc>
      </w:tr>
      <w:tr>
        <w:trPr>
          <w:trHeight w:val="227" w:hRule="atLeast"/>
        </w:trPr>
        <w:tc>
          <w:tcPr>
            <w:tcW w:w="450"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1</w:t>
            </w:r>
          </w:p>
        </w:tc>
        <w:tc>
          <w:tcPr>
            <w:tcW w:w="360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Magnetic Impurities in Superconductors: Subgap States in Quantum Dots and Effects of Periodic Local Moments</w:t>
            </w:r>
          </w:p>
        </w:tc>
        <w:tc>
          <w:tcPr>
            <w:tcW w:w="3060" w:type="dxa"/>
            <w:gridSpan w:val="4"/>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Willem-Victor van Gerven</w:t>
            </w:r>
          </w:p>
        </w:tc>
        <w:tc>
          <w:tcPr>
            <w:tcW w:w="134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lang w:val="sr-CS"/>
              </w:rPr>
            </w:pPr>
            <w:r>
              <w:rPr>
                <w:lang w:val="sr-CS"/>
              </w:rPr>
            </w:r>
          </w:p>
        </w:tc>
        <w:tc>
          <w:tcPr>
            <w:tcW w:w="1442"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2020</w:t>
            </w:r>
          </w:p>
        </w:tc>
      </w:tr>
      <w:tr>
        <w:trPr>
          <w:trHeight w:val="227" w:hRule="atLeast"/>
        </w:trPr>
        <w:tc>
          <w:tcPr>
            <w:tcW w:w="450"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2</w:t>
            </w:r>
          </w:p>
        </w:tc>
        <w:tc>
          <w:tcPr>
            <w:tcW w:w="360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Signatures of Hidden Quantum Criticality in the High-temperature Charge Transport Near the Mott Transition</w:t>
            </w:r>
          </w:p>
        </w:tc>
        <w:tc>
          <w:tcPr>
            <w:tcW w:w="3060" w:type="dxa"/>
            <w:gridSpan w:val="4"/>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Јакша Вучичевић</w:t>
            </w:r>
          </w:p>
        </w:tc>
        <w:tc>
          <w:tcPr>
            <w:tcW w:w="134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lang w:val="sr-CS"/>
              </w:rPr>
            </w:pPr>
            <w:r>
              <w:rPr>
                <w:lang w:val="sr-CS"/>
              </w:rPr>
            </w:r>
          </w:p>
        </w:tc>
        <w:tc>
          <w:tcPr>
            <w:tcW w:w="1442"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2015</w:t>
            </w:r>
          </w:p>
        </w:tc>
      </w:tr>
      <w:tr>
        <w:trPr>
          <w:trHeight w:val="227" w:hRule="atLeast"/>
        </w:trPr>
        <w:tc>
          <w:tcPr>
            <w:tcW w:w="450"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3</w:t>
            </w:r>
          </w:p>
        </w:tc>
        <w:tc>
          <w:tcPr>
            <w:tcW w:w="360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Influence of Disorder on Charge Transport in Strongly Correlated Materials Near the Metal-insulator transition</w:t>
            </w:r>
          </w:p>
        </w:tc>
        <w:tc>
          <w:tcPr>
            <w:tcW w:w="3060" w:type="dxa"/>
            <w:gridSpan w:val="4"/>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Милош Радоњић</w:t>
            </w:r>
          </w:p>
        </w:tc>
        <w:tc>
          <w:tcPr>
            <w:tcW w:w="134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lang w:val="sr-CS"/>
              </w:rPr>
            </w:pPr>
            <w:r>
              <w:rPr>
                <w:lang w:val="sr-CS"/>
              </w:rPr>
            </w:r>
          </w:p>
        </w:tc>
        <w:tc>
          <w:tcPr>
            <w:tcW w:w="1442"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2014</w:t>
            </w:r>
          </w:p>
        </w:tc>
      </w:tr>
      <w:tr>
        <w:trPr>
          <w:trHeight w:val="227" w:hRule="atLeast"/>
        </w:trPr>
        <w:tc>
          <w:tcPr>
            <w:tcW w:w="9900" w:type="dxa"/>
            <w:gridSpan w:val="10"/>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*Година  у којој је дисертација</w:t>
            </w:r>
            <w:r>
              <w:rPr/>
              <w:t xml:space="preserve">-докторски уметнички пројекат </w:t>
            </w:r>
            <w:r>
              <w:rPr>
                <w:lang w:val="sr-CS"/>
              </w:rPr>
              <w:t xml:space="preserve"> пријављена</w:t>
            </w:r>
            <w:r>
              <w:rPr/>
              <w:t xml:space="preserve">-пријављен </w:t>
            </w:r>
            <w:r>
              <w:rPr>
                <w:lang w:val="sr-CS"/>
              </w:rPr>
              <w:t>(само за дисертације</w:t>
            </w:r>
            <w:r>
              <w:rPr/>
              <w:t xml:space="preserve">-докторске уметничке пројекте </w:t>
            </w:r>
            <w:r>
              <w:rPr>
                <w:lang w:val="sr-CS"/>
              </w:rPr>
              <w:t xml:space="preserve"> које су у току), ** Година у којој је дисертација</w:t>
            </w:r>
            <w:r>
              <w:rPr/>
              <w:t xml:space="preserve">-докторски уметнички пројекат </w:t>
            </w:r>
            <w:r>
              <w:rPr>
                <w:lang w:val="sr-CS"/>
              </w:rPr>
              <w:t xml:space="preserve"> одбрањена (само за дисертације</w:t>
            </w:r>
            <w:r>
              <w:rPr/>
              <w:t xml:space="preserve">-докторско уметничке пројекте </w:t>
            </w:r>
            <w:r>
              <w:rPr>
                <w:lang w:val="sr-CS"/>
              </w:rPr>
              <w:t xml:space="preserve"> из ранијег периода)</w:t>
            </w:r>
          </w:p>
        </w:tc>
      </w:tr>
      <w:tr>
        <w:trPr>
          <w:trHeight w:val="227" w:hRule="atLeast"/>
        </w:trPr>
        <w:tc>
          <w:tcPr>
            <w:tcW w:w="9900" w:type="dxa"/>
            <w:gridSpan w:val="10"/>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lang w:val="sr-CS"/>
              </w:rPr>
              <w:t>Категоризација публикације</w:t>
            </w:r>
            <w:r>
              <w:rPr>
                <w:b/>
              </w:rPr>
              <w:t xml:space="preserve"> научних радова  из области датог студијског програма </w:t>
            </w:r>
            <w:r>
              <w:rPr>
                <w:b/>
                <w:lang w:val="sr-CS"/>
              </w:rPr>
              <w:t xml:space="preserve"> према класификацији ре</w:t>
            </w:r>
            <w:r>
              <w:rPr>
                <w:b/>
              </w:rPr>
              <w:t>с</w:t>
            </w:r>
            <w:r>
              <w:rPr>
                <w:b/>
                <w:lang w:val="sr-CS"/>
              </w:rPr>
              <w:t>орног Министарства просвете, науке и технолошког развоја  а у складу са допунским захтевевима  стандарда за дато поље (минимално 5 не више од 20)</w:t>
            </w:r>
          </w:p>
          <w:p>
            <w:pPr>
              <w:pStyle w:val="Normal"/>
              <w:spacing w:before="0" w:after="60"/>
              <w:rPr>
                <w:rFonts w:ascii="Times New Roman" w:hAnsi="Times New Roman"/>
              </w:rPr>
            </w:pPr>
            <w:r>
              <w:rPr>
                <w:b/>
                <w:lang w:val="sr-CS"/>
              </w:rPr>
              <w:t>Категоризација публикације</w:t>
            </w:r>
            <w:r>
              <w:rPr>
                <w:b/>
              </w:rPr>
              <w:t xml:space="preserve"> уметничких референци  из области датог студијског програма </w:t>
            </w:r>
            <w:r>
              <w:rPr>
                <w:b/>
                <w:lang w:val="sr-CS"/>
              </w:rPr>
              <w:t xml:space="preserve"> према класификацији </w:t>
            </w:r>
            <w:r>
              <w:rPr>
                <w:b/>
              </w:rPr>
              <w:t xml:space="preserve"> из Упутства  за припрему документације  за акредитацију студијског програма </w:t>
            </w:r>
            <w:r>
              <w:rPr>
                <w:b/>
                <w:lang w:val="sr-CS"/>
              </w:rPr>
              <w:t>а у складу са допунским захтевевима  стандарда за дато поље</w:t>
            </w:r>
            <w:r>
              <w:rPr>
                <w:b/>
              </w:rPr>
              <w:t xml:space="preserve"> </w:t>
            </w:r>
            <w:r>
              <w:rPr>
                <w:b/>
                <w:lang w:val="sr-CS"/>
              </w:rPr>
              <w:t xml:space="preserve"> (минимално 5 не више од 20)</w:t>
            </w:r>
          </w:p>
        </w:tc>
      </w:tr>
      <w:tr>
        <w:trPr>
          <w:trHeight w:val="227" w:hRule="atLeast"/>
        </w:trPr>
        <w:tc>
          <w:tcPr>
            <w:tcW w:w="450"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val="false"/>
                <w:bCs w:val="false"/>
                <w:sz w:val="20"/>
                <w:szCs w:val="20"/>
                <w:lang w:val="sr-CS"/>
              </w:rPr>
              <w:t>1</w:t>
            </w:r>
          </w:p>
        </w:tc>
        <w:tc>
          <w:tcPr>
            <w:tcW w:w="8277" w:type="dxa"/>
            <w:gridSpan w:val="8"/>
            <w:tcBorders>
              <w:top w:val="single" w:sz="4" w:space="0" w:color="000000"/>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b w:val="false"/>
                <w:bCs w:val="false"/>
                <w:i w:val="false"/>
                <w:iCs w:val="false"/>
                <w:sz w:val="20"/>
                <w:szCs w:val="20"/>
                <w:lang w:val="sr-CS"/>
              </w:rPr>
              <w:t>A. Vranic, J. Vucicevic, J. Kokalj, J. Skolimowski, R. Zitko, J. Mravlje, and D. Tanaskovic, "</w:t>
            </w:r>
            <w:r>
              <w:rPr>
                <w:b w:val="false"/>
                <w:bCs w:val="false"/>
                <w:i/>
                <w:iCs/>
                <w:sz w:val="20"/>
                <w:szCs w:val="20"/>
                <w:lang w:val="sr-CS"/>
              </w:rPr>
              <w:t>Charge Transport in the Hubbard Model at High Temperatures: Triangular Versus Square Lattice</w:t>
            </w:r>
            <w:r>
              <w:rPr>
                <w:b w:val="false"/>
                <w:bCs w:val="false"/>
                <w:i w:val="false"/>
                <w:iCs w:val="false"/>
                <w:sz w:val="20"/>
                <w:szCs w:val="20"/>
                <w:lang w:val="sr-CS"/>
              </w:rPr>
              <w:t>", Phys. Rev. B 102, 115142 (2020).</w:t>
            </w:r>
          </w:p>
        </w:tc>
        <w:tc>
          <w:tcPr>
            <w:tcW w:w="117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b w:val="false"/>
                <w:bCs w:val="false"/>
                <w:i w:val="false"/>
                <w:iCs w:val="false"/>
                <w:sz w:val="20"/>
                <w:szCs w:val="20"/>
                <w:lang w:val="sr-CS"/>
              </w:rPr>
              <w:t xml:space="preserve">IF=3.736 </w:t>
            </w:r>
          </w:p>
          <w:p>
            <w:pPr>
              <w:pStyle w:val="Normal"/>
              <w:spacing w:before="0" w:after="60"/>
              <w:jc w:val="both"/>
              <w:rPr>
                <w:rFonts w:ascii="Times New Roman" w:hAnsi="Times New Roman"/>
              </w:rPr>
            </w:pPr>
            <w:r>
              <w:rPr>
                <w:b w:val="false"/>
                <w:bCs w:val="false"/>
                <w:i w:val="false"/>
                <w:iCs w:val="false"/>
                <w:sz w:val="20"/>
                <w:szCs w:val="20"/>
                <w:lang w:val="sr-CS"/>
              </w:rPr>
              <w:t>M21</w:t>
            </w:r>
          </w:p>
        </w:tc>
      </w:tr>
      <w:tr>
        <w:trPr>
          <w:trHeight w:val="227" w:hRule="atLeast"/>
        </w:trPr>
        <w:tc>
          <w:tcPr>
            <w:tcW w:w="450" w:type="dxa"/>
            <w:tcBorders>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val="false"/>
                <w:bCs w:val="false"/>
                <w:sz w:val="20"/>
                <w:szCs w:val="20"/>
                <w:lang w:val="sr-CS"/>
              </w:rPr>
              <w:t>2</w:t>
            </w:r>
          </w:p>
        </w:tc>
        <w:tc>
          <w:tcPr>
            <w:tcW w:w="8277" w:type="dxa"/>
            <w:gridSpan w:val="8"/>
            <w:tcBorders>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b w:val="false"/>
                <w:bCs w:val="false"/>
                <w:i w:val="false"/>
                <w:iCs w:val="false"/>
                <w:sz w:val="20"/>
                <w:szCs w:val="20"/>
                <w:lang w:val="sr-CS"/>
              </w:rPr>
              <w:t>W. van Gerven Oei and D. Tanaskovic: "</w:t>
            </w:r>
            <w:r>
              <w:rPr>
                <w:b w:val="false"/>
                <w:bCs w:val="false"/>
                <w:i/>
                <w:iCs/>
                <w:sz w:val="20"/>
                <w:szCs w:val="20"/>
                <w:lang w:val="sr-CS"/>
              </w:rPr>
              <w:t>Reentrant S-wave Superconductivity in the Periodic Anderson Model with Attractive Conduction Band Hubbard Interaction</w:t>
            </w:r>
            <w:r>
              <w:rPr>
                <w:b w:val="false"/>
                <w:bCs w:val="false"/>
                <w:i w:val="false"/>
                <w:iCs w:val="false"/>
                <w:sz w:val="20"/>
                <w:szCs w:val="20"/>
                <w:lang w:val="sr-CS"/>
              </w:rPr>
              <w:t>", J. Phys. Cond. Matt. 32, 325601 (2020).</w:t>
            </w:r>
          </w:p>
        </w:tc>
        <w:tc>
          <w:tcPr>
            <w:tcW w:w="1173" w:type="dxa"/>
            <w:tcBorders>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b w:val="false"/>
                <w:bCs w:val="false"/>
                <w:i w:val="false"/>
                <w:iCs w:val="false"/>
                <w:sz w:val="20"/>
                <w:szCs w:val="20"/>
                <w:lang w:val="sr-CS"/>
              </w:rPr>
              <w:t>IF=2.707</w:t>
            </w:r>
          </w:p>
          <w:p>
            <w:pPr>
              <w:pStyle w:val="Normal"/>
              <w:spacing w:before="0" w:after="60"/>
              <w:jc w:val="both"/>
              <w:rPr>
                <w:rFonts w:ascii="Times New Roman" w:hAnsi="Times New Roman"/>
              </w:rPr>
            </w:pPr>
            <w:r>
              <w:rPr>
                <w:b w:val="false"/>
                <w:bCs w:val="false"/>
                <w:i w:val="false"/>
                <w:iCs w:val="false"/>
                <w:sz w:val="20"/>
                <w:szCs w:val="20"/>
                <w:lang w:val="sr-CS"/>
              </w:rPr>
              <w:t>M22</w:t>
            </w:r>
          </w:p>
        </w:tc>
      </w:tr>
      <w:tr>
        <w:trPr>
          <w:trHeight w:val="227" w:hRule="atLeast"/>
        </w:trPr>
        <w:tc>
          <w:tcPr>
            <w:tcW w:w="450" w:type="dxa"/>
            <w:tcBorders>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val="false"/>
                <w:bCs w:val="false"/>
                <w:sz w:val="20"/>
                <w:szCs w:val="20"/>
                <w:lang w:val="sr-CS"/>
              </w:rPr>
              <w:t>3</w:t>
            </w:r>
          </w:p>
        </w:tc>
        <w:tc>
          <w:tcPr>
            <w:tcW w:w="8277" w:type="dxa"/>
            <w:gridSpan w:val="8"/>
            <w:tcBorders>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b w:val="false"/>
                <w:bCs w:val="false"/>
                <w:i w:val="false"/>
                <w:iCs w:val="false"/>
                <w:sz w:val="20"/>
                <w:szCs w:val="20"/>
                <w:lang w:val="sr-CS"/>
              </w:rPr>
              <w:t>J. Vucicevic, J. Kokalj, R. Zitko, N. Wentzell, D. Tanaskovic, and J. Mravlje, "</w:t>
            </w:r>
            <w:r>
              <w:rPr>
                <w:b w:val="false"/>
                <w:bCs w:val="false"/>
                <w:i/>
                <w:iCs/>
                <w:sz w:val="20"/>
                <w:szCs w:val="20"/>
                <w:lang w:val="sr-CS"/>
              </w:rPr>
              <w:t>Conductivity in the Square Lattice Hubbard Model at High Temperatures: Importance of Vertex Corrections</w:t>
            </w:r>
            <w:r>
              <w:rPr>
                <w:b w:val="false"/>
                <w:bCs w:val="false"/>
                <w:i w:val="false"/>
                <w:iCs w:val="false"/>
                <w:sz w:val="20"/>
                <w:szCs w:val="20"/>
                <w:lang w:val="sr-CS"/>
              </w:rPr>
              <w:t>", Phys. Rev. Lett. 123, 036601 (2019).</w:t>
            </w:r>
          </w:p>
        </w:tc>
        <w:tc>
          <w:tcPr>
            <w:tcW w:w="1173" w:type="dxa"/>
            <w:tcBorders>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b w:val="false"/>
                <w:bCs w:val="false"/>
                <w:sz w:val="20"/>
                <w:szCs w:val="20"/>
                <w:lang w:val="sr-CS"/>
              </w:rPr>
              <w:t>IF=9.227</w:t>
            </w:r>
          </w:p>
          <w:p>
            <w:pPr>
              <w:pStyle w:val="Normal"/>
              <w:spacing w:before="0" w:after="60"/>
              <w:jc w:val="both"/>
              <w:rPr>
                <w:rFonts w:ascii="Times New Roman" w:hAnsi="Times New Roman"/>
              </w:rPr>
            </w:pPr>
            <w:r>
              <w:rPr>
                <w:b w:val="false"/>
                <w:bCs w:val="false"/>
                <w:sz w:val="20"/>
                <w:szCs w:val="20"/>
                <w:lang w:val="sr-CS"/>
              </w:rPr>
              <w:t>M21a</w:t>
            </w:r>
          </w:p>
        </w:tc>
      </w:tr>
      <w:tr>
        <w:trPr>
          <w:trHeight w:val="227" w:hRule="atLeast"/>
        </w:trPr>
        <w:tc>
          <w:tcPr>
            <w:tcW w:w="450"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val="false"/>
                <w:bCs w:val="false"/>
                <w:sz w:val="20"/>
                <w:szCs w:val="20"/>
                <w:lang w:val="sr-CS"/>
              </w:rPr>
              <w:t>4</w:t>
            </w:r>
          </w:p>
        </w:tc>
        <w:tc>
          <w:tcPr>
            <w:tcW w:w="8277" w:type="dxa"/>
            <w:gridSpan w:val="8"/>
            <w:tcBorders>
              <w:top w:val="single" w:sz="4" w:space="0" w:color="000000"/>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b w:val="false"/>
                <w:bCs w:val="false"/>
                <w:i w:val="false"/>
                <w:iCs w:val="false"/>
                <w:sz w:val="20"/>
                <w:szCs w:val="20"/>
                <w:lang w:val="sr-CS"/>
              </w:rPr>
              <w:t>M. Opacic, N. Lazarevic, D. Tanaskovic, M. M. Radonjic, A. Milosavljevic, Y. Ma, C. Petrovic, and Z. V. Popovic, "S</w:t>
            </w:r>
            <w:r>
              <w:rPr>
                <w:b w:val="false"/>
                <w:bCs w:val="false"/>
                <w:i/>
                <w:iCs/>
                <w:sz w:val="20"/>
                <w:szCs w:val="20"/>
                <w:lang w:val="sr-CS"/>
              </w:rPr>
              <w:t>mall Influence of Magnetic Ordering on Lattice Dynamics in TaFe1.25Te3</w:t>
            </w:r>
            <w:r>
              <w:rPr>
                <w:b w:val="false"/>
                <w:bCs w:val="false"/>
                <w:i w:val="false"/>
                <w:iCs w:val="false"/>
                <w:sz w:val="20"/>
                <w:szCs w:val="20"/>
                <w:lang w:val="sr-CS"/>
              </w:rPr>
              <w:t>", Phys. Rev. B 96, 174303 (2017).</w:t>
            </w:r>
          </w:p>
        </w:tc>
        <w:tc>
          <w:tcPr>
            <w:tcW w:w="117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b w:val="false"/>
                <w:bCs w:val="false"/>
                <w:i w:val="false"/>
                <w:iCs w:val="false"/>
                <w:sz w:val="20"/>
                <w:szCs w:val="20"/>
                <w:lang w:val="sr-CS"/>
              </w:rPr>
              <w:t>IF=3.736</w:t>
            </w:r>
          </w:p>
          <w:p>
            <w:pPr>
              <w:pStyle w:val="Normal"/>
              <w:spacing w:before="0" w:after="60"/>
              <w:jc w:val="both"/>
              <w:rPr>
                <w:rFonts w:ascii="Times New Roman" w:hAnsi="Times New Roman"/>
              </w:rPr>
            </w:pPr>
            <w:r>
              <w:rPr>
                <w:b w:val="false"/>
                <w:bCs w:val="false"/>
                <w:i w:val="false"/>
                <w:iCs w:val="false"/>
                <w:sz w:val="20"/>
                <w:szCs w:val="20"/>
                <w:lang w:val="sr-CS"/>
              </w:rPr>
              <w:t>M21</w:t>
            </w:r>
          </w:p>
        </w:tc>
      </w:tr>
      <w:tr>
        <w:trPr>
          <w:trHeight w:val="227" w:hRule="atLeast"/>
        </w:trPr>
        <w:tc>
          <w:tcPr>
            <w:tcW w:w="450" w:type="dxa"/>
            <w:tcBorders>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val="false"/>
                <w:bCs w:val="false"/>
                <w:sz w:val="20"/>
                <w:szCs w:val="20"/>
                <w:lang w:val="sr-CS"/>
              </w:rPr>
              <w:t>5</w:t>
            </w:r>
          </w:p>
        </w:tc>
        <w:tc>
          <w:tcPr>
            <w:tcW w:w="8277" w:type="dxa"/>
            <w:gridSpan w:val="8"/>
            <w:tcBorders>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b w:val="false"/>
                <w:bCs w:val="false"/>
                <w:i w:val="false"/>
                <w:iCs w:val="false"/>
                <w:sz w:val="20"/>
                <w:szCs w:val="20"/>
                <w:lang w:val="sr-CS"/>
              </w:rPr>
              <w:t xml:space="preserve">W. van Gerven Oei, D. Tanasković, and R. Žitko, </w:t>
            </w:r>
            <w:r>
              <w:rPr>
                <w:b w:val="false"/>
                <w:bCs w:val="false"/>
                <w:i/>
                <w:iCs/>
                <w:sz w:val="20"/>
                <w:szCs w:val="20"/>
                <w:lang w:val="sr-CS"/>
              </w:rPr>
              <w:t>Magnetic Impurities in Spin-split Superconductors</w:t>
            </w:r>
            <w:r>
              <w:rPr>
                <w:b w:val="false"/>
                <w:bCs w:val="false"/>
                <w:i w:val="false"/>
                <w:iCs w:val="false"/>
                <w:sz w:val="20"/>
                <w:szCs w:val="20"/>
                <w:lang w:val="sr-CS"/>
              </w:rPr>
              <w:t>, Phys. Rev. B 95, 085115 (2017)</w:t>
            </w:r>
            <w:r>
              <w:rPr>
                <w:rFonts w:eastAsia="KIWFZJ+CMR10" w:cs="KIWFZJ+CMR10"/>
                <w:b w:val="false"/>
                <w:bCs w:val="false"/>
                <w:i w:val="false"/>
                <w:iCs w:val="false"/>
                <w:sz w:val="20"/>
                <w:szCs w:val="20"/>
                <w:lang w:val="sr-CS"/>
              </w:rPr>
              <w:t>.</w:t>
            </w:r>
          </w:p>
          <w:p>
            <w:pPr>
              <w:pStyle w:val="Normal"/>
              <w:spacing w:before="0" w:after="60"/>
              <w:jc w:val="both"/>
              <w:rPr>
                <w:rFonts w:ascii="Times New Roman" w:hAnsi="Times New Roman"/>
                <w:b w:val="false"/>
                <w:b w:val="false"/>
                <w:bCs w:val="false"/>
                <w:i w:val="false"/>
                <w:i w:val="false"/>
                <w:iCs w:val="false"/>
                <w:sz w:val="20"/>
                <w:szCs w:val="20"/>
                <w:lang w:val="sr-CS"/>
              </w:rPr>
            </w:pPr>
            <w:r>
              <w:rPr>
                <w:b w:val="false"/>
                <w:bCs w:val="false"/>
                <w:i w:val="false"/>
                <w:iCs w:val="false"/>
                <w:sz w:val="20"/>
                <w:szCs w:val="20"/>
                <w:lang w:val="sr-CS"/>
              </w:rPr>
            </w:r>
          </w:p>
        </w:tc>
        <w:tc>
          <w:tcPr>
            <w:tcW w:w="1173" w:type="dxa"/>
            <w:tcBorders>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b w:val="false"/>
                <w:bCs w:val="false"/>
                <w:i w:val="false"/>
                <w:iCs w:val="false"/>
                <w:sz w:val="20"/>
                <w:szCs w:val="20"/>
                <w:lang w:val="sr-CS"/>
              </w:rPr>
              <w:t xml:space="preserve"> </w:t>
            </w:r>
            <w:r>
              <w:rPr>
                <w:b w:val="false"/>
                <w:bCs w:val="false"/>
                <w:i w:val="false"/>
                <w:iCs w:val="false"/>
                <w:sz w:val="20"/>
                <w:szCs w:val="20"/>
                <w:lang w:val="sr-CS"/>
              </w:rPr>
              <w:t>IF</w:t>
            </w:r>
            <w:r>
              <w:rPr>
                <w:rFonts w:eastAsia="KIWFZJ+CMR10" w:cs="KIWFZJ+CMR10"/>
                <w:b w:val="false"/>
                <w:bCs w:val="false"/>
                <w:i w:val="false"/>
                <w:iCs w:val="false"/>
                <w:sz w:val="20"/>
                <w:szCs w:val="20"/>
                <w:lang w:val="sr-CS"/>
              </w:rPr>
              <w:t>=3.813</w:t>
            </w:r>
          </w:p>
          <w:p>
            <w:pPr>
              <w:pStyle w:val="Normal"/>
              <w:spacing w:before="0" w:after="60"/>
              <w:jc w:val="both"/>
              <w:rPr>
                <w:rFonts w:ascii="Times New Roman" w:hAnsi="Times New Roman"/>
              </w:rPr>
            </w:pPr>
            <w:r>
              <w:rPr>
                <w:rFonts w:eastAsia="KIWFZJ+CMR10" w:cs="KIWFZJ+CMR10"/>
                <w:b w:val="false"/>
                <w:bCs w:val="false"/>
                <w:i w:val="false"/>
                <w:iCs w:val="false"/>
                <w:sz w:val="20"/>
                <w:szCs w:val="20"/>
                <w:lang w:val="sr-CS"/>
              </w:rPr>
              <w:t>M21</w:t>
            </w:r>
          </w:p>
        </w:tc>
      </w:tr>
      <w:tr>
        <w:trPr>
          <w:trHeight w:val="227" w:hRule="atLeast"/>
        </w:trPr>
        <w:tc>
          <w:tcPr>
            <w:tcW w:w="450" w:type="dxa"/>
            <w:tcBorders>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val="false"/>
                <w:bCs w:val="false"/>
                <w:sz w:val="20"/>
                <w:szCs w:val="20"/>
                <w:lang w:val="sr-CS"/>
              </w:rPr>
              <w:t>6</w:t>
            </w:r>
          </w:p>
        </w:tc>
        <w:tc>
          <w:tcPr>
            <w:tcW w:w="8277" w:type="dxa"/>
            <w:gridSpan w:val="8"/>
            <w:tcBorders>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rFonts w:eastAsia="KIWFZJ+CMR10" w:cs="KIWFZJ+CMR10"/>
                <w:b w:val="false"/>
                <w:bCs w:val="false"/>
                <w:i w:val="false"/>
                <w:iCs w:val="false"/>
                <w:sz w:val="20"/>
                <w:szCs w:val="20"/>
                <w:lang w:val="sr-CS"/>
              </w:rPr>
              <w:t xml:space="preserve">M. Opačić, N. Lazarević, M. M. Radonjić, M. Sćepanović, H. Ryu, A. Wang, D. Tanasković, C. Petrovic, and Z. V. Popović, </w:t>
            </w:r>
            <w:r>
              <w:rPr>
                <w:rFonts w:eastAsia="KIWFZJ+CMR10" w:cs="KIWFZJ+CMR10"/>
                <w:b w:val="false"/>
                <w:bCs w:val="false"/>
                <w:i/>
                <w:iCs/>
                <w:sz w:val="20"/>
                <w:szCs w:val="20"/>
                <w:lang w:val="sr-CS"/>
              </w:rPr>
              <w:t>Raman Spectroscopy of K</w:t>
            </w:r>
            <w:r>
              <w:rPr>
                <w:rFonts w:eastAsia="KIWFZJ+CMR10" w:cs="KIWFZJ+CMR10"/>
                <w:b w:val="false"/>
                <w:bCs w:val="false"/>
                <w:i/>
                <w:iCs/>
                <w:position w:val="-7"/>
                <w:sz w:val="20"/>
                <w:szCs w:val="20"/>
                <w:lang w:val="sr-CS"/>
              </w:rPr>
              <w:t>x</w:t>
            </w:r>
            <w:r>
              <w:rPr>
                <w:rFonts w:eastAsia="KIWFZJ+CMR10" w:cs="KIWFZJ+CMR10"/>
                <w:b w:val="false"/>
                <w:bCs w:val="false"/>
                <w:i/>
                <w:iCs/>
                <w:sz w:val="20"/>
                <w:szCs w:val="20"/>
                <w:lang w:val="sr-CS"/>
              </w:rPr>
              <w:t>Co</w:t>
            </w:r>
            <w:r>
              <w:rPr>
                <w:rFonts w:eastAsia="KIWFZJ+CMR10" w:cs="KIWFZJ+CMR10"/>
                <w:b w:val="false"/>
                <w:bCs w:val="false"/>
                <w:i/>
                <w:iCs/>
                <w:position w:val="-7"/>
                <w:sz w:val="20"/>
                <w:szCs w:val="20"/>
                <w:lang w:val="sr-CS"/>
              </w:rPr>
              <w:t xml:space="preserve">2–y </w:t>
            </w:r>
            <w:r>
              <w:rPr>
                <w:rFonts w:eastAsia="KIWFZJ+CMR10" w:cs="KIWFZJ+CMR10"/>
                <w:b w:val="false"/>
                <w:bCs w:val="false"/>
                <w:i/>
                <w:iCs/>
                <w:sz w:val="20"/>
                <w:szCs w:val="20"/>
                <w:lang w:val="sr-CS"/>
              </w:rPr>
              <w:t>Se</w:t>
            </w:r>
            <w:r>
              <w:rPr>
                <w:rFonts w:eastAsia="KIWFZJ+CMR10" w:cs="KIWFZJ+CMR10"/>
                <w:b w:val="false"/>
                <w:bCs w:val="false"/>
                <w:i/>
                <w:iCs/>
                <w:position w:val="-7"/>
                <w:sz w:val="20"/>
                <w:szCs w:val="20"/>
                <w:lang w:val="sr-CS"/>
              </w:rPr>
              <w:t>2</w:t>
            </w:r>
            <w:r>
              <w:rPr>
                <w:rFonts w:eastAsia="KIWFZJ+CMR10" w:cs="KIWFZJ+CMR10"/>
                <w:b w:val="false"/>
                <w:bCs w:val="false"/>
                <w:i/>
                <w:iCs/>
                <w:sz w:val="20"/>
                <w:szCs w:val="20"/>
                <w:lang w:val="sr-CS"/>
              </w:rPr>
              <w:t xml:space="preserve"> Single Crystals Near the Ferromagnet–paramagnet Transition</w:t>
            </w:r>
            <w:r>
              <w:rPr>
                <w:rFonts w:eastAsia="KIWFZJ+CMR10" w:cs="KIWFZJ+CMR10"/>
                <w:b w:val="false"/>
                <w:bCs w:val="false"/>
                <w:i w:val="false"/>
                <w:iCs w:val="false"/>
                <w:sz w:val="20"/>
                <w:szCs w:val="20"/>
                <w:lang w:val="sr-CS"/>
              </w:rPr>
              <w:t>, J. Phys. Cond. Matt. 28, 485401 (2016).</w:t>
            </w:r>
          </w:p>
        </w:tc>
        <w:tc>
          <w:tcPr>
            <w:tcW w:w="1173" w:type="dxa"/>
            <w:tcBorders>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rFonts w:eastAsia="KIWFZJ+CMR10" w:cs="KIWFZJ+CMR10"/>
                <w:b w:val="false"/>
                <w:bCs w:val="false"/>
                <w:i w:val="false"/>
                <w:iCs w:val="false"/>
                <w:sz w:val="20"/>
                <w:szCs w:val="20"/>
                <w:lang w:val="sr-CS"/>
              </w:rPr>
              <w:t>IF=2.346</w:t>
            </w:r>
          </w:p>
          <w:p>
            <w:pPr>
              <w:pStyle w:val="Normal"/>
              <w:spacing w:before="0" w:after="60"/>
              <w:jc w:val="both"/>
              <w:rPr>
                <w:rFonts w:ascii="Times New Roman" w:hAnsi="Times New Roman"/>
              </w:rPr>
            </w:pPr>
            <w:r>
              <w:rPr>
                <w:rFonts w:eastAsia="KIWFZJ+CMR10" w:cs="KIWFZJ+CMR10"/>
                <w:b w:val="false"/>
                <w:bCs w:val="false"/>
                <w:i w:val="false"/>
                <w:iCs w:val="false"/>
                <w:sz w:val="20"/>
                <w:szCs w:val="20"/>
                <w:lang w:val="sr-CS"/>
              </w:rPr>
              <w:t>M21</w:t>
            </w:r>
          </w:p>
        </w:tc>
      </w:tr>
      <w:tr>
        <w:trPr>
          <w:trHeight w:val="227" w:hRule="atLeast"/>
        </w:trPr>
        <w:tc>
          <w:tcPr>
            <w:tcW w:w="450"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val="false"/>
                <w:bCs w:val="false"/>
                <w:sz w:val="20"/>
                <w:szCs w:val="20"/>
                <w:lang w:val="sr-CS"/>
              </w:rPr>
              <w:t>7</w:t>
            </w:r>
          </w:p>
        </w:tc>
        <w:tc>
          <w:tcPr>
            <w:tcW w:w="8277" w:type="dxa"/>
            <w:gridSpan w:val="8"/>
            <w:tcBorders>
              <w:top w:val="single" w:sz="4" w:space="0" w:color="000000"/>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rFonts w:eastAsia="KIWFZJ+CMR10" w:cs="KIWFZJ+CMR10"/>
                <w:b w:val="false"/>
                <w:bCs w:val="false"/>
                <w:i w:val="false"/>
                <w:iCs w:val="false"/>
                <w:sz w:val="20"/>
                <w:szCs w:val="20"/>
                <w:lang w:val="sr-CS"/>
              </w:rPr>
              <w:t xml:space="preserve">H. Braganca, M. C. O. Aguiar, J. Vučičević, D. Tanasković, and V. Dobrosavljević, </w:t>
            </w:r>
            <w:r>
              <w:rPr>
                <w:rFonts w:eastAsia="KIWFZJ+CMR10" w:cs="KIWFZJ+CMR10"/>
                <w:b w:val="false"/>
                <w:bCs w:val="false"/>
                <w:i/>
                <w:iCs/>
                <w:sz w:val="20"/>
                <w:szCs w:val="20"/>
                <w:lang w:val="sr-CS"/>
              </w:rPr>
              <w:t>Anderson Localization Effects Near the Mott Metal-insulator Transition</w:t>
            </w:r>
            <w:r>
              <w:rPr>
                <w:rFonts w:eastAsia="KIWFZJ+CMR10" w:cs="KIWFZJ+CMR10"/>
                <w:b w:val="false"/>
                <w:bCs w:val="false"/>
                <w:i w:val="false"/>
                <w:iCs w:val="false"/>
                <w:sz w:val="20"/>
                <w:szCs w:val="20"/>
                <w:lang w:val="sr-CS"/>
              </w:rPr>
              <w:t>, Phys. Rev. B 92, 125143(2015).</w:t>
            </w:r>
          </w:p>
        </w:tc>
        <w:tc>
          <w:tcPr>
            <w:tcW w:w="117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rFonts w:eastAsia="KIWFZJ+CMR10" w:cs="KIWFZJ+CMR10"/>
                <w:b w:val="false"/>
                <w:bCs w:val="false"/>
                <w:i w:val="false"/>
                <w:iCs w:val="false"/>
                <w:sz w:val="20"/>
                <w:szCs w:val="20"/>
                <w:lang w:val="sr-CS"/>
              </w:rPr>
              <w:t>IF=3.767</w:t>
            </w:r>
          </w:p>
          <w:p>
            <w:pPr>
              <w:pStyle w:val="Normal"/>
              <w:spacing w:before="0" w:after="60"/>
              <w:jc w:val="both"/>
              <w:rPr>
                <w:rFonts w:ascii="Times New Roman" w:hAnsi="Times New Roman"/>
              </w:rPr>
            </w:pPr>
            <w:r>
              <w:rPr>
                <w:rFonts w:eastAsia="KIWFZJ+CMR10" w:cs="KIWFZJ+CMR10"/>
                <w:b w:val="false"/>
                <w:bCs w:val="false"/>
                <w:i w:val="false"/>
                <w:iCs w:val="false"/>
                <w:sz w:val="20"/>
                <w:szCs w:val="20"/>
                <w:lang w:val="sr-CS"/>
              </w:rPr>
              <w:t>M21</w:t>
            </w:r>
          </w:p>
        </w:tc>
      </w:tr>
      <w:tr>
        <w:trPr>
          <w:trHeight w:val="227" w:hRule="atLeast"/>
        </w:trPr>
        <w:tc>
          <w:tcPr>
            <w:tcW w:w="450"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val="false"/>
                <w:bCs w:val="false"/>
                <w:sz w:val="20"/>
                <w:szCs w:val="20"/>
                <w:lang w:val="sr-CS"/>
              </w:rPr>
              <w:t>8</w:t>
            </w:r>
          </w:p>
        </w:tc>
        <w:tc>
          <w:tcPr>
            <w:tcW w:w="8277" w:type="dxa"/>
            <w:gridSpan w:val="8"/>
            <w:tcBorders>
              <w:top w:val="single" w:sz="4" w:space="0" w:color="000000"/>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rFonts w:eastAsia="KIWFZJ+CMR10" w:cs="KIWFZJ+CMR10"/>
                <w:b w:val="false"/>
                <w:bCs w:val="false"/>
                <w:i w:val="false"/>
                <w:iCs w:val="false"/>
                <w:sz w:val="20"/>
                <w:szCs w:val="20"/>
                <w:lang w:val="sr-CS"/>
              </w:rPr>
              <w:t xml:space="preserve">J. Vučičević, D. Tanasković, M. J. Rozenberg and V. Dobrosavljević, </w:t>
            </w:r>
            <w:r>
              <w:rPr>
                <w:rFonts w:eastAsia="KIWFZJ+CMR10" w:cs="KIWFZJ+CMR10"/>
                <w:b w:val="false"/>
                <w:bCs w:val="false"/>
                <w:i/>
                <w:iCs/>
                <w:sz w:val="20"/>
                <w:szCs w:val="20"/>
                <w:lang w:val="sr-CS"/>
              </w:rPr>
              <w:t>Bad-Metal Behavior Reveals Mott Quantum Criticality in Doped Hubbard Models</w:t>
            </w:r>
            <w:r>
              <w:rPr>
                <w:rFonts w:eastAsia="KIWFZJ+CMR10" w:cs="KIWFZJ+CMR10"/>
                <w:b w:val="false"/>
                <w:bCs w:val="false"/>
                <w:i w:val="false"/>
                <w:iCs w:val="false"/>
                <w:sz w:val="20"/>
                <w:szCs w:val="20"/>
                <w:lang w:val="sr-CS"/>
              </w:rPr>
              <w:t>, Phys. Rev. Lett. 114, 246402 (2015).</w:t>
            </w:r>
          </w:p>
        </w:tc>
        <w:tc>
          <w:tcPr>
            <w:tcW w:w="117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rFonts w:eastAsia="KIWFZJ+CMR10" w:cs="KIWFZJ+CMR10"/>
                <w:b w:val="false"/>
                <w:bCs w:val="false"/>
                <w:i w:val="false"/>
                <w:iCs w:val="false"/>
                <w:sz w:val="20"/>
                <w:szCs w:val="20"/>
                <w:lang w:val="sr-CS"/>
              </w:rPr>
              <w:t>IF=7.943</w:t>
            </w:r>
          </w:p>
          <w:p>
            <w:pPr>
              <w:pStyle w:val="Normal"/>
              <w:spacing w:before="0" w:after="60"/>
              <w:jc w:val="both"/>
              <w:rPr>
                <w:rFonts w:ascii="Times New Roman" w:hAnsi="Times New Roman"/>
              </w:rPr>
            </w:pPr>
            <w:r>
              <w:rPr>
                <w:rFonts w:eastAsia="KIWFZJ+CMR10" w:cs="KIWFZJ+CMR10"/>
                <w:b w:val="false"/>
                <w:bCs w:val="false"/>
                <w:i w:val="false"/>
                <w:iCs w:val="false"/>
                <w:sz w:val="20"/>
                <w:szCs w:val="20"/>
                <w:lang w:val="sr-CS"/>
              </w:rPr>
              <w:t>M21a</w:t>
            </w:r>
          </w:p>
        </w:tc>
      </w:tr>
      <w:tr>
        <w:trPr>
          <w:trHeight w:val="227" w:hRule="atLeast"/>
        </w:trPr>
        <w:tc>
          <w:tcPr>
            <w:tcW w:w="450"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val="false"/>
                <w:bCs w:val="false"/>
                <w:sz w:val="20"/>
                <w:szCs w:val="20"/>
                <w:lang w:val="sr-CS"/>
              </w:rPr>
              <w:t>9</w:t>
            </w:r>
          </w:p>
        </w:tc>
        <w:tc>
          <w:tcPr>
            <w:tcW w:w="8277" w:type="dxa"/>
            <w:gridSpan w:val="8"/>
            <w:tcBorders>
              <w:top w:val="single" w:sz="4" w:space="0" w:color="000000"/>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rFonts w:eastAsia="KIWFZJ+CMR10" w:cs="KIWFZJ+CMR10"/>
                <w:b w:val="false"/>
                <w:bCs w:val="false"/>
                <w:i w:val="false"/>
                <w:iCs w:val="false"/>
                <w:sz w:val="20"/>
                <w:szCs w:val="20"/>
                <w:lang w:val="sr-CS"/>
              </w:rPr>
              <w:t xml:space="preserve">J. Vučičević, H. Terletska, D. Tanasković, and V. Dobrosavljević, </w:t>
            </w:r>
            <w:r>
              <w:rPr>
                <w:rFonts w:eastAsia="KIWFZJ+CMR10" w:cs="KIWFZJ+CMR10"/>
                <w:b w:val="false"/>
                <w:bCs w:val="false"/>
                <w:i/>
                <w:iCs/>
                <w:sz w:val="20"/>
                <w:szCs w:val="20"/>
                <w:lang w:val="sr-CS"/>
              </w:rPr>
              <w:t>Finite-temperature Crossover and the Quantum Widom Line Near the Mott Transition</w:t>
            </w:r>
            <w:r>
              <w:rPr>
                <w:rFonts w:eastAsia="KIWFZJ+CMR10" w:cs="KIWFZJ+CMR10"/>
                <w:b w:val="false"/>
                <w:bCs w:val="false"/>
                <w:i w:val="false"/>
                <w:iCs w:val="false"/>
                <w:sz w:val="20"/>
                <w:szCs w:val="20"/>
                <w:lang w:val="sr-CS"/>
              </w:rPr>
              <w:t>, Phys. Rev. B 88, 075143 (2013).</w:t>
            </w:r>
          </w:p>
        </w:tc>
        <w:tc>
          <w:tcPr>
            <w:tcW w:w="117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rFonts w:eastAsia="KIWFZJ+CMR10" w:cs="KIWFZJ+CMR10"/>
                <w:b w:val="false"/>
                <w:bCs w:val="false"/>
                <w:i w:val="false"/>
                <w:iCs w:val="false"/>
                <w:sz w:val="20"/>
                <w:szCs w:val="20"/>
                <w:lang w:val="sr-CS"/>
              </w:rPr>
              <w:t>IF=3.767</w:t>
            </w:r>
          </w:p>
          <w:p>
            <w:pPr>
              <w:pStyle w:val="Normal"/>
              <w:spacing w:before="0" w:after="60"/>
              <w:jc w:val="both"/>
              <w:rPr>
                <w:rFonts w:ascii="Times New Roman" w:hAnsi="Times New Roman"/>
              </w:rPr>
            </w:pPr>
            <w:r>
              <w:rPr>
                <w:rFonts w:eastAsia="KIWFZJ+CMR10" w:cs="KIWFZJ+CMR10"/>
                <w:b w:val="false"/>
                <w:bCs w:val="false"/>
                <w:i w:val="false"/>
                <w:iCs w:val="false"/>
                <w:sz w:val="20"/>
                <w:szCs w:val="20"/>
                <w:lang w:val="sr-CS"/>
              </w:rPr>
              <w:t>M21</w:t>
            </w:r>
          </w:p>
        </w:tc>
      </w:tr>
      <w:tr>
        <w:trPr>
          <w:trHeight w:val="227" w:hRule="atLeast"/>
        </w:trPr>
        <w:tc>
          <w:tcPr>
            <w:tcW w:w="450"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val="false"/>
                <w:bCs w:val="false"/>
                <w:sz w:val="20"/>
                <w:szCs w:val="20"/>
                <w:lang w:val="sr-CS"/>
              </w:rPr>
              <w:t>10</w:t>
            </w:r>
          </w:p>
        </w:tc>
        <w:tc>
          <w:tcPr>
            <w:tcW w:w="8277" w:type="dxa"/>
            <w:gridSpan w:val="8"/>
            <w:tcBorders>
              <w:top w:val="single" w:sz="4" w:space="0" w:color="000000"/>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rFonts w:eastAsia="KIWFZJ+CMR10" w:cs="KIWFZJ+CMR10"/>
                <w:b w:val="false"/>
                <w:bCs w:val="false"/>
                <w:i w:val="false"/>
                <w:iCs w:val="false"/>
                <w:sz w:val="20"/>
                <w:szCs w:val="20"/>
                <w:lang w:val="sr-Latn-RS"/>
              </w:rPr>
              <w:t xml:space="preserve">M. M. Radonjić, D. Tanasković, V. Dobrosavljević, G. Kotliar, and K. Haule, </w:t>
            </w:r>
            <w:r>
              <w:rPr>
                <w:rFonts w:eastAsia="KIWFZJ+CMR10" w:cs="KIWFZJ+CMR10"/>
                <w:b w:val="false"/>
                <w:bCs w:val="false"/>
                <w:i/>
                <w:iCs/>
                <w:color w:val="000000"/>
                <w:sz w:val="20"/>
                <w:szCs w:val="20"/>
                <w:u w:val="none"/>
                <w:lang w:val="sr-Latn-RS"/>
              </w:rPr>
              <w:t xml:space="preserve">Wigner-Mott Scaling of Transport Near the Two-dimensional Metal-insulator Transition, </w:t>
            </w:r>
            <w:r>
              <w:rPr>
                <w:rFonts w:eastAsia="KIWFZJ+CMR10" w:cs="KIWFZJ+CMR10"/>
                <w:b w:val="false"/>
                <w:bCs w:val="false"/>
                <w:i w:val="false"/>
                <w:iCs w:val="false"/>
                <w:color w:val="000000"/>
                <w:sz w:val="20"/>
                <w:szCs w:val="20"/>
                <w:u w:val="none"/>
                <w:lang w:val="sr-Latn-RS"/>
              </w:rPr>
              <w:t>Phys. Rev.B 85, 085133 (2012).</w:t>
            </w:r>
          </w:p>
        </w:tc>
        <w:tc>
          <w:tcPr>
            <w:tcW w:w="117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rFonts w:eastAsia="KIWFZJ+CMR10" w:cs="KIWFZJ+CMR10"/>
                <w:b w:val="false"/>
                <w:bCs w:val="false"/>
                <w:i w:val="false"/>
                <w:iCs w:val="false"/>
                <w:color w:val="000000"/>
                <w:sz w:val="20"/>
                <w:szCs w:val="20"/>
                <w:u w:val="none"/>
                <w:lang w:val="sr-Latn-RS"/>
              </w:rPr>
              <w:t>IF=3.774</w:t>
            </w:r>
          </w:p>
          <w:p>
            <w:pPr>
              <w:pStyle w:val="Normal"/>
              <w:spacing w:before="0" w:after="60"/>
              <w:jc w:val="both"/>
              <w:rPr>
                <w:rFonts w:ascii="Times New Roman" w:hAnsi="Times New Roman"/>
              </w:rPr>
            </w:pPr>
            <w:r>
              <w:rPr>
                <w:rFonts w:eastAsia="KIWFZJ+CMR10" w:cs="KIWFZJ+CMR10"/>
                <w:b w:val="false"/>
                <w:bCs w:val="false"/>
                <w:i w:val="false"/>
                <w:iCs w:val="false"/>
                <w:color w:val="000000"/>
                <w:sz w:val="20"/>
                <w:szCs w:val="20"/>
                <w:u w:val="none"/>
                <w:lang w:val="sr-Latn-RS"/>
              </w:rPr>
              <w:t>M21</w:t>
            </w:r>
          </w:p>
        </w:tc>
      </w:tr>
      <w:tr>
        <w:trPr>
          <w:trHeight w:val="227" w:hRule="atLeast"/>
        </w:trPr>
        <w:tc>
          <w:tcPr>
            <w:tcW w:w="450"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val="false"/>
                <w:bCs w:val="false"/>
                <w:sz w:val="20"/>
                <w:szCs w:val="20"/>
                <w:lang w:val="sr-CS"/>
              </w:rPr>
              <w:t>11</w:t>
            </w:r>
          </w:p>
        </w:tc>
        <w:tc>
          <w:tcPr>
            <w:tcW w:w="8277" w:type="dxa"/>
            <w:gridSpan w:val="8"/>
            <w:tcBorders>
              <w:top w:val="single" w:sz="4" w:space="0" w:color="000000"/>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rFonts w:eastAsia="KIWFZJ+CMR10" w:cs="KIWFZJ+CMR10"/>
                <w:b w:val="false"/>
                <w:bCs w:val="false"/>
                <w:i w:val="false"/>
                <w:iCs w:val="false"/>
                <w:color w:val="000000"/>
                <w:sz w:val="20"/>
                <w:szCs w:val="20"/>
                <w:u w:val="none"/>
                <w:lang w:val="sr-Latn-RS"/>
              </w:rPr>
              <w:t xml:space="preserve">D. Tanasković, K. Haule, G. Kotliar, and V. Dobrosavljević, </w:t>
            </w:r>
            <w:r>
              <w:rPr>
                <w:rFonts w:eastAsia="KIWFZJ+CMR10" w:cs="KIWFZJ+CMR10"/>
                <w:b w:val="false"/>
                <w:bCs w:val="false"/>
                <w:i/>
                <w:iCs/>
                <w:color w:val="000000"/>
                <w:sz w:val="20"/>
                <w:szCs w:val="20"/>
                <w:u w:val="none"/>
                <w:lang w:val="sr-Latn-RS"/>
              </w:rPr>
              <w:t>Phase diagram, energy scales and nonlocal correlations in the Anderson lattice mode</w:t>
            </w:r>
            <w:r>
              <w:rPr>
                <w:rFonts w:eastAsia="KIWFZJ+CMR10" w:cs="KIWFZJ+CMR10"/>
                <w:b w:val="false"/>
                <w:bCs w:val="false"/>
                <w:i w:val="false"/>
                <w:iCs w:val="false"/>
                <w:color w:val="000000"/>
                <w:sz w:val="20"/>
                <w:szCs w:val="20"/>
                <w:u w:val="none"/>
                <w:lang w:val="sr-Latn-RS"/>
              </w:rPr>
              <w:t>l,  Phys. Rev. B 84, 115105 (2011).</w:t>
            </w:r>
          </w:p>
        </w:tc>
        <w:tc>
          <w:tcPr>
            <w:tcW w:w="117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rFonts w:eastAsia="KIWFZJ+CMR10" w:cs="KIWFZJ+CMR10"/>
                <w:b w:val="false"/>
                <w:bCs w:val="false"/>
                <w:i w:val="false"/>
                <w:iCs w:val="false"/>
                <w:color w:val="000000"/>
                <w:sz w:val="20"/>
                <w:szCs w:val="20"/>
                <w:u w:val="none"/>
                <w:lang w:val="sr-Latn-RS"/>
              </w:rPr>
              <w:t>IF=3.774</w:t>
            </w:r>
          </w:p>
          <w:p>
            <w:pPr>
              <w:pStyle w:val="Normal"/>
              <w:spacing w:before="0" w:after="60"/>
              <w:jc w:val="both"/>
              <w:rPr>
                <w:rFonts w:ascii="Times New Roman" w:hAnsi="Times New Roman"/>
              </w:rPr>
            </w:pPr>
            <w:r>
              <w:rPr>
                <w:rFonts w:eastAsia="KIWFZJ+CMR10" w:cs="KIWFZJ+CMR10"/>
                <w:b w:val="false"/>
                <w:bCs w:val="false"/>
                <w:i w:val="false"/>
                <w:iCs w:val="false"/>
                <w:color w:val="000000"/>
                <w:sz w:val="20"/>
                <w:szCs w:val="20"/>
                <w:u w:val="none"/>
                <w:lang w:val="sr-Latn-RS"/>
              </w:rPr>
              <w:t>M21</w:t>
            </w:r>
          </w:p>
        </w:tc>
      </w:tr>
      <w:tr>
        <w:trPr>
          <w:trHeight w:val="227" w:hRule="atLeast"/>
        </w:trPr>
        <w:tc>
          <w:tcPr>
            <w:tcW w:w="450"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val="false"/>
                <w:bCs w:val="false"/>
                <w:sz w:val="20"/>
                <w:szCs w:val="20"/>
                <w:lang w:val="sr-CS"/>
              </w:rPr>
              <w:t>12</w:t>
            </w:r>
          </w:p>
        </w:tc>
        <w:tc>
          <w:tcPr>
            <w:tcW w:w="8277" w:type="dxa"/>
            <w:gridSpan w:val="8"/>
            <w:tcBorders>
              <w:top w:val="single" w:sz="4" w:space="0" w:color="000000"/>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rFonts w:eastAsia="KIWFZJ+CMR10" w:cs="KIWFZJ+CMR10"/>
                <w:b w:val="false"/>
                <w:bCs w:val="false"/>
                <w:i w:val="false"/>
                <w:iCs w:val="false"/>
                <w:color w:val="000000"/>
                <w:sz w:val="20"/>
                <w:szCs w:val="20"/>
                <w:u w:val="none"/>
                <w:lang w:val="sr-Latn-RS"/>
              </w:rPr>
              <w:t xml:space="preserve">H. Terletska, J. Vučičević, D. Tanasković, and V. Dobrosavljević, </w:t>
            </w:r>
            <w:r>
              <w:rPr>
                <w:rFonts w:eastAsia="KIWFZJ+CMR10" w:cs="KIWFZJ+CMR10"/>
                <w:b w:val="false"/>
                <w:bCs w:val="false"/>
                <w:i/>
                <w:iCs/>
                <w:color w:val="000000"/>
                <w:sz w:val="20"/>
                <w:szCs w:val="20"/>
                <w:u w:val="none"/>
                <w:lang w:val="sr-Latn-RS"/>
              </w:rPr>
              <w:t>Quantum Critical Transport Near the Mott Transition</w:t>
            </w:r>
            <w:r>
              <w:rPr>
                <w:rFonts w:eastAsia="KIWFZJ+CMR10" w:cs="KIWFZJ+CMR10"/>
                <w:b w:val="false"/>
                <w:bCs w:val="false"/>
                <w:i w:val="false"/>
                <w:iCs w:val="false"/>
                <w:color w:val="000000"/>
                <w:sz w:val="20"/>
                <w:szCs w:val="20"/>
                <w:u w:val="none"/>
                <w:lang w:val="sr-Latn-RS"/>
              </w:rPr>
              <w:t>, Phys. Rev. Lett. 107, 026401 (2011).</w:t>
            </w:r>
          </w:p>
        </w:tc>
        <w:tc>
          <w:tcPr>
            <w:tcW w:w="117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rFonts w:eastAsia="KIWFZJ+CMR10" w:cs="KIWFZJ+CMR10"/>
                <w:b w:val="false"/>
                <w:bCs w:val="false"/>
                <w:i w:val="false"/>
                <w:iCs w:val="false"/>
                <w:color w:val="000000"/>
                <w:sz w:val="20"/>
                <w:szCs w:val="20"/>
                <w:u w:val="none"/>
                <w:lang w:val="sr-Latn-RS"/>
              </w:rPr>
              <w:t>IF=7.62</w:t>
            </w:r>
          </w:p>
          <w:p>
            <w:pPr>
              <w:pStyle w:val="Normal"/>
              <w:spacing w:before="0" w:after="60"/>
              <w:jc w:val="both"/>
              <w:rPr>
                <w:rFonts w:ascii="Times New Roman" w:hAnsi="Times New Roman"/>
              </w:rPr>
            </w:pPr>
            <w:r>
              <w:rPr>
                <w:rFonts w:eastAsia="KIWFZJ+CMR10" w:cs="KIWFZJ+CMR10"/>
                <w:b w:val="false"/>
                <w:bCs w:val="false"/>
                <w:i w:val="false"/>
                <w:iCs w:val="false"/>
                <w:color w:val="000000"/>
                <w:sz w:val="20"/>
                <w:szCs w:val="20"/>
                <w:u w:val="none"/>
                <w:lang w:val="sr-Latn-RS"/>
              </w:rPr>
              <w:t>M21a</w:t>
            </w:r>
          </w:p>
        </w:tc>
      </w:tr>
      <w:tr>
        <w:trPr>
          <w:trHeight w:val="227" w:hRule="atLeast"/>
        </w:trPr>
        <w:tc>
          <w:tcPr>
            <w:tcW w:w="9900" w:type="dxa"/>
            <w:gridSpan w:val="10"/>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lang w:val="sr-CS"/>
              </w:rPr>
              <w:t>Збирни подаци научне активност наставника</w:t>
            </w:r>
          </w:p>
        </w:tc>
      </w:tr>
      <w:tr>
        <w:trPr>
          <w:trHeight w:val="227" w:hRule="atLeast"/>
        </w:trPr>
        <w:tc>
          <w:tcPr>
            <w:tcW w:w="9900" w:type="dxa"/>
            <w:gridSpan w:val="10"/>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lang w:val="sr-CS"/>
              </w:rPr>
              <w:t xml:space="preserve">Збирни подаци </w:t>
            </w:r>
            <w:r>
              <w:rPr>
                <w:b/>
              </w:rPr>
              <w:t xml:space="preserve">уметничке </w:t>
            </w:r>
            <w:r>
              <w:rPr>
                <w:b/>
                <w:lang w:val="sr-CS"/>
              </w:rPr>
              <w:t xml:space="preserve"> активност наставника</w:t>
            </w:r>
          </w:p>
        </w:tc>
      </w:tr>
      <w:tr>
        <w:trPr>
          <w:trHeight w:val="227" w:hRule="atLeast"/>
        </w:trPr>
        <w:tc>
          <w:tcPr>
            <w:tcW w:w="6120" w:type="dxa"/>
            <w:gridSpan w:val="5"/>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Укупан број цитата, без аутоцитата</w:t>
            </w:r>
          </w:p>
        </w:tc>
        <w:tc>
          <w:tcPr>
            <w:tcW w:w="3780" w:type="dxa"/>
            <w:gridSpan w:val="5"/>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val="false"/>
                <w:bCs w:val="false"/>
                <w:lang w:val="sr-CS"/>
              </w:rPr>
              <w:t xml:space="preserve">   </w:t>
            </w:r>
            <w:r>
              <w:rPr>
                <w:b w:val="false"/>
                <w:bCs w:val="false"/>
                <w:lang w:val="sr-CS"/>
              </w:rPr>
              <w:t>523</w:t>
            </w:r>
          </w:p>
        </w:tc>
      </w:tr>
      <w:tr>
        <w:trPr>
          <w:trHeight w:val="227" w:hRule="atLeast"/>
        </w:trPr>
        <w:tc>
          <w:tcPr>
            <w:tcW w:w="6120" w:type="dxa"/>
            <w:gridSpan w:val="5"/>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Укупан број радова са SCI (или SSCI) листе</w:t>
            </w:r>
          </w:p>
        </w:tc>
        <w:tc>
          <w:tcPr>
            <w:tcW w:w="3780" w:type="dxa"/>
            <w:gridSpan w:val="5"/>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val="false"/>
                <w:bCs w:val="false"/>
                <w:lang w:val="sr-CS"/>
              </w:rPr>
              <w:t xml:space="preserve">   </w:t>
            </w:r>
            <w:r>
              <w:rPr>
                <w:b w:val="false"/>
                <w:bCs w:val="false"/>
                <w:lang w:val="sr-CS"/>
              </w:rPr>
              <w:t>29</w:t>
            </w:r>
          </w:p>
        </w:tc>
      </w:tr>
      <w:tr>
        <w:trPr>
          <w:trHeight w:val="227" w:hRule="atLeast"/>
        </w:trPr>
        <w:tc>
          <w:tcPr>
            <w:tcW w:w="6120" w:type="dxa"/>
            <w:gridSpan w:val="5"/>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Тренутно учешће на пројектима</w:t>
            </w:r>
          </w:p>
          <w:p>
            <w:pPr>
              <w:pStyle w:val="Normal"/>
              <w:spacing w:before="0" w:after="60"/>
              <w:rPr>
                <w:rFonts w:ascii="Times New Roman" w:hAnsi="Times New Roman"/>
                <w:lang w:val="sr-CS"/>
              </w:rPr>
            </w:pPr>
            <w:r>
              <w:rPr>
                <w:lang w:val="sr-CS"/>
              </w:rPr>
            </w:r>
          </w:p>
        </w:tc>
        <w:tc>
          <w:tcPr>
            <w:tcW w:w="900"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Домаћи</w:t>
            </w:r>
          </w:p>
        </w:tc>
        <w:tc>
          <w:tcPr>
            <w:tcW w:w="2880" w:type="dxa"/>
            <w:gridSpan w:val="4"/>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Међународни</w:t>
            </w:r>
          </w:p>
        </w:tc>
      </w:tr>
      <w:tr>
        <w:trPr>
          <w:trHeight w:val="227" w:hRule="atLeast"/>
        </w:trPr>
        <w:tc>
          <w:tcPr>
            <w:tcW w:w="6120" w:type="dxa"/>
            <w:gridSpan w:val="5"/>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Усавршавања</w:t>
            </w:r>
          </w:p>
          <w:p>
            <w:pPr>
              <w:pStyle w:val="Normal"/>
              <w:spacing w:before="0" w:after="60"/>
              <w:rPr>
                <w:rFonts w:ascii="Times New Roman" w:hAnsi="Times New Roman"/>
              </w:rPr>
            </w:pPr>
            <w:r>
              <w:rPr>
                <w:b w:val="false"/>
                <w:i w:val="false"/>
                <w:strike w:val="false"/>
                <w:dstrike w:val="false"/>
                <w:outline w:val="false"/>
                <w:shadow w:val="false"/>
                <w:sz w:val="20"/>
                <w:u w:val="none"/>
                <w:em w:val="none"/>
                <w:lang w:val="sr-CS"/>
              </w:rPr>
              <w:t>П</w:t>
            </w:r>
            <w:r>
              <w:rPr>
                <w:b w:val="false"/>
                <w:i w:val="false"/>
                <w:strike w:val="false"/>
                <w:dstrike w:val="false"/>
                <w:outline w:val="false"/>
                <w:shadow w:val="false"/>
                <w:sz w:val="20"/>
                <w:u w:val="none"/>
                <w:em w:val="none"/>
              </w:rPr>
              <w:t xml:space="preserve">остдокторант на Државном универзитету Охаја, САД (2005-2006)                                                                               </w:t>
            </w:r>
          </w:p>
          <w:p>
            <w:pPr>
              <w:pStyle w:val="Normal"/>
              <w:spacing w:before="0" w:after="60"/>
              <w:rPr>
                <w:rFonts w:ascii="Times New Roman" w:hAnsi="Times New Roman"/>
              </w:rPr>
            </w:pPr>
            <w:r>
              <w:rPr>
                <w:b w:val="false"/>
                <w:i w:val="false"/>
                <w:strike w:val="false"/>
                <w:dstrike w:val="false"/>
                <w:outline w:val="false"/>
                <w:shadow w:val="false"/>
                <w:sz w:val="20"/>
                <w:u w:val="none"/>
                <w:em w:val="none"/>
              </w:rPr>
              <w:t>Institute for Complex Adaptive Matter “I2CAM” Junior Fellow (2009)</w:t>
            </w:r>
          </w:p>
        </w:tc>
        <w:tc>
          <w:tcPr>
            <w:tcW w:w="900"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b/>
                <w:b/>
                <w:lang w:val="sr-CS"/>
              </w:rPr>
            </w:pPr>
            <w:r>
              <w:rPr>
                <w:b/>
                <w:lang w:val="sr-CS"/>
              </w:rPr>
            </w:r>
          </w:p>
        </w:tc>
        <w:tc>
          <w:tcPr>
            <w:tcW w:w="2880" w:type="dxa"/>
            <w:gridSpan w:val="4"/>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b/>
                <w:b/>
                <w:lang w:val="sr-CS"/>
              </w:rPr>
            </w:pPr>
            <w:r>
              <w:rPr>
                <w:b/>
                <w:lang w:val="sr-CS"/>
              </w:rPr>
            </w:r>
          </w:p>
        </w:tc>
      </w:tr>
      <w:tr>
        <w:trPr>
          <w:trHeight w:val="227" w:hRule="atLeast"/>
        </w:trPr>
        <w:tc>
          <w:tcPr>
            <w:tcW w:w="6120" w:type="dxa"/>
            <w:gridSpan w:val="5"/>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Други подаци које сматрате релевантним</w:t>
            </w:r>
          </w:p>
          <w:p>
            <w:pPr>
              <w:pStyle w:val="Normal"/>
              <w:spacing w:before="0" w:after="60"/>
              <w:rPr>
                <w:rFonts w:ascii="Times New Roman" w:hAnsi="Times New Roman"/>
              </w:rPr>
            </w:pPr>
            <w:r>
              <w:rPr>
                <w:lang w:val="sr-CS"/>
              </w:rPr>
              <w:t>Руководилац билатералног пројекта са Словенијом 2016-2017</w:t>
            </w:r>
          </w:p>
          <w:p>
            <w:pPr>
              <w:pStyle w:val="Normal"/>
              <w:spacing w:before="0" w:after="60"/>
              <w:rPr>
                <w:rFonts w:ascii="Times New Roman" w:hAnsi="Times New Roman"/>
              </w:rPr>
            </w:pPr>
            <w:r>
              <w:rPr>
                <w:lang w:val="sr-CS"/>
              </w:rPr>
              <w:t>Руководилац билатералног пројекта са Француском 2012-2013</w:t>
            </w:r>
          </w:p>
        </w:tc>
        <w:tc>
          <w:tcPr>
            <w:tcW w:w="3780" w:type="dxa"/>
            <w:gridSpan w:val="5"/>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b/>
                <w:b/>
                <w:lang w:val="sr-CS"/>
              </w:rPr>
            </w:pPr>
            <w:r>
              <w:rPr>
                <w:b/>
                <w:lang w:val="sr-CS"/>
              </w:rPr>
            </w:r>
          </w:p>
        </w:tc>
      </w:tr>
    </w:tbl>
    <w:p>
      <w:pPr>
        <w:pStyle w:val="Normal"/>
        <w:rPr>
          <w:rFonts w:ascii="Times New Roman" w:hAnsi="Times New Roman"/>
        </w:rPr>
      </w:pPr>
      <w:r>
        <w:rPr/>
      </w:r>
    </w:p>
    <w:p>
      <w:pPr>
        <w:pStyle w:val="Normal"/>
        <w:rPr>
          <w:rFonts w:ascii="Times New Roman" w:hAnsi="Times New Roman"/>
        </w:rPr>
      </w:pPr>
      <w:r>
        <w:rPr/>
      </w:r>
    </w:p>
    <w:p>
      <w:pPr>
        <w:pStyle w:val="Normal"/>
        <w:rPr>
          <w:rFonts w:ascii="Times New Roman" w:hAnsi="Times New Roman"/>
        </w:rPr>
      </w:pPr>
      <w:r>
        <w:rPr/>
      </w:r>
    </w:p>
    <w:p>
      <w:pPr>
        <w:pStyle w:val="Normal"/>
        <w:rPr>
          <w:rFonts w:ascii="Times New Roman" w:hAnsi="Times New Roman"/>
        </w:rPr>
      </w:pPr>
      <w:r>
        <w:rPr/>
      </w:r>
    </w:p>
    <w:p>
      <w:pPr>
        <w:pStyle w:val="Normal"/>
        <w:rPr>
          <w:rFonts w:ascii="Times New Roman" w:hAnsi="Times New Roman"/>
        </w:rPr>
      </w:pPr>
      <w:r>
        <w:rPr/>
      </w:r>
    </w:p>
    <w:p>
      <w:pPr>
        <w:pStyle w:val="Normal"/>
        <w:rPr>
          <w:rFonts w:ascii="Times New Roman" w:hAnsi="Times New Roman"/>
        </w:rPr>
      </w:pPr>
      <w:r>
        <w:rPr/>
      </w:r>
    </w:p>
    <w:p>
      <w:pPr>
        <w:pStyle w:val="Normal"/>
        <w:rPr>
          <w:rFonts w:ascii="Times New Roman" w:hAnsi="Times New Roman"/>
        </w:rPr>
      </w:pPr>
      <w:r>
        <w:rPr/>
      </w:r>
    </w:p>
    <w:p>
      <w:pPr>
        <w:pStyle w:val="Normal"/>
        <w:rPr>
          <w:rFonts w:ascii="Times New Roman" w:hAnsi="Times New Roman"/>
        </w:rPr>
      </w:pPr>
      <w:r>
        <w:rPr/>
      </w:r>
    </w:p>
    <w:p>
      <w:pPr>
        <w:pStyle w:val="Normal"/>
        <w:rPr>
          <w:rFonts w:ascii="Times New Roman" w:hAnsi="Times New Roman"/>
        </w:rPr>
      </w:pPr>
      <w:r>
        <w:rPr/>
      </w:r>
    </w:p>
    <w:p>
      <w:pPr>
        <w:pStyle w:val="Normal"/>
        <w:rPr>
          <w:rFonts w:ascii="Times New Roman" w:hAnsi="Times New Roman"/>
        </w:rPr>
      </w:pPr>
      <w:r>
        <w:rPr/>
      </w:r>
    </w:p>
    <w:p>
      <w:pPr>
        <w:pStyle w:val="Normal"/>
        <w:rPr>
          <w:rFonts w:ascii="Times New Roman" w:hAnsi="Times New Roman"/>
        </w:rPr>
      </w:pPr>
      <w:r>
        <w:rPr/>
      </w:r>
    </w:p>
    <w:p>
      <w:pPr>
        <w:pStyle w:val="Normal"/>
        <w:rPr>
          <w:rFonts w:ascii="Times New Roman" w:hAnsi="Times New Roman"/>
        </w:rPr>
      </w:pPr>
      <w:r>
        <w:rPr/>
      </w:r>
    </w:p>
    <w:p>
      <w:pPr>
        <w:pStyle w:val="Normal"/>
        <w:rPr>
          <w:rFonts w:ascii="Times New Roman" w:hAnsi="Times New Roman"/>
        </w:rPr>
      </w:pPr>
      <w:r>
        <w:rPr/>
      </w:r>
    </w:p>
    <w:p>
      <w:pPr>
        <w:pStyle w:val="Normal"/>
        <w:rPr>
          <w:rFonts w:ascii="Times New Roman" w:hAnsi="Times New Roman"/>
        </w:rPr>
      </w:pPr>
      <w:r>
        <w:rPr/>
      </w:r>
    </w:p>
    <w:p>
      <w:pPr>
        <w:pStyle w:val="Normal"/>
        <w:rPr>
          <w:rFonts w:ascii="Times New Roman" w:hAnsi="Times New Roman"/>
        </w:rPr>
      </w:pPr>
      <w:r>
        <w:rPr/>
      </w:r>
    </w:p>
    <w:p>
      <w:pPr>
        <w:pStyle w:val="Normal"/>
        <w:rPr>
          <w:rFonts w:ascii="Times New Roman" w:hAnsi="Times New Roman"/>
        </w:rPr>
      </w:pPr>
      <w:r>
        <w:rPr/>
      </w:r>
    </w:p>
    <w:p>
      <w:pPr>
        <w:pStyle w:val="Normal"/>
        <w:rPr>
          <w:rFonts w:ascii="Times New Roman" w:hAnsi="Times New Roman"/>
        </w:rPr>
      </w:pPr>
      <w:r>
        <w:rPr/>
      </w:r>
    </w:p>
    <w:p>
      <w:pPr>
        <w:pStyle w:val="Normal"/>
        <w:rPr>
          <w:rFonts w:ascii="Times New Roman" w:hAnsi="Times New Roman"/>
        </w:rPr>
      </w:pPr>
      <w:r>
        <w:rPr/>
      </w:r>
    </w:p>
    <w:p>
      <w:pPr>
        <w:pStyle w:val="Normal"/>
        <w:rPr>
          <w:rFonts w:ascii="Times New Roman" w:hAnsi="Times New Roman"/>
        </w:rPr>
      </w:pPr>
      <w:r>
        <w:rPr/>
      </w:r>
    </w:p>
    <w:p>
      <w:pPr>
        <w:pStyle w:val="Normal"/>
        <w:rPr>
          <w:rFonts w:ascii="Times New Roman" w:hAnsi="Times New Roman"/>
        </w:rPr>
      </w:pPr>
      <w:r>
        <w:rPr/>
      </w:r>
    </w:p>
    <w:p>
      <w:pPr>
        <w:pStyle w:val="Normal"/>
        <w:rPr>
          <w:rFonts w:ascii="Times New Roman" w:hAnsi="Times New Roman"/>
        </w:rPr>
      </w:pPr>
      <w:r>
        <w:rPr/>
      </w:r>
    </w:p>
    <w:p>
      <w:pPr>
        <w:pStyle w:val="Normal"/>
        <w:rPr>
          <w:rFonts w:ascii="Times New Roman" w:hAnsi="Times New Roman"/>
        </w:rPr>
      </w:pPr>
      <w:r>
        <w:rPr/>
      </w:r>
    </w:p>
    <w:p>
      <w:pPr>
        <w:pStyle w:val="Normal"/>
        <w:rPr>
          <w:rFonts w:ascii="Times New Roman" w:hAnsi="Times New Roman"/>
        </w:rPr>
      </w:pPr>
      <w:r>
        <w:rPr/>
      </w:r>
    </w:p>
    <w:p>
      <w:pPr>
        <w:pStyle w:val="Normal"/>
        <w:rPr>
          <w:rFonts w:ascii="Times New Roman" w:hAnsi="Times New Roman"/>
        </w:rPr>
      </w:pPr>
      <w:r>
        <w:rPr/>
      </w:r>
    </w:p>
    <w:p>
      <w:pPr>
        <w:pStyle w:val="Normal"/>
        <w:rPr>
          <w:rFonts w:ascii="Times New Roman" w:hAnsi="Times New Roman"/>
        </w:rPr>
      </w:pPr>
      <w:r>
        <w:rPr/>
      </w:r>
    </w:p>
    <w:p>
      <w:pPr>
        <w:pStyle w:val="Normal"/>
        <w:rPr>
          <w:rFonts w:ascii="Times New Roman" w:hAnsi="Times New Roman"/>
        </w:rPr>
      </w:pPr>
      <w:r>
        <w:rPr/>
      </w:r>
    </w:p>
    <w:p>
      <w:pPr>
        <w:pStyle w:val="Normal"/>
        <w:spacing w:before="0" w:after="60"/>
        <w:jc w:val="center"/>
        <w:rPr>
          <w:rFonts w:ascii="Times New Roman" w:hAnsi="Times New Roman"/>
        </w:rPr>
      </w:pPr>
      <w:r>
        <w:rPr>
          <w:b/>
          <w:iCs/>
          <w:sz w:val="22"/>
          <w:szCs w:val="22"/>
          <w:lang w:val="en-US"/>
        </w:rPr>
        <w:t>Table. 9.8</w:t>
      </w:r>
      <w:r>
        <w:rPr>
          <w:iCs/>
          <w:sz w:val="22"/>
          <w:szCs w:val="22"/>
          <w:lang w:val="en-US"/>
        </w:rPr>
        <w:t xml:space="preserve"> Competences of mentors</w:t>
      </w:r>
    </w:p>
    <w:tbl>
      <w:tblPr>
        <w:tblW w:w="9630" w:type="dxa"/>
        <w:jc w:val="left"/>
        <w:tblInd w:w="-12" w:type="dxa"/>
        <w:tblCellMar>
          <w:top w:w="0" w:type="dxa"/>
          <w:left w:w="108" w:type="dxa"/>
          <w:bottom w:w="0" w:type="dxa"/>
          <w:right w:w="108" w:type="dxa"/>
        </w:tblCellMar>
        <w:tblLook w:val="01e0"/>
      </w:tblPr>
      <w:tblGrid>
        <w:gridCol w:w="627"/>
        <w:gridCol w:w="1893"/>
        <w:gridCol w:w="1318"/>
        <w:gridCol w:w="569"/>
        <w:gridCol w:w="2162"/>
        <w:gridCol w:w="358"/>
        <w:gridCol w:w="363"/>
        <w:gridCol w:w="987"/>
        <w:gridCol w:w="1353"/>
      </w:tblGrid>
      <w:tr>
        <w:trPr>
          <w:trHeight w:val="227" w:hRule="atLeast"/>
        </w:trPr>
        <w:tc>
          <w:tcPr>
            <w:tcW w:w="3838" w:type="dxa"/>
            <w:gridSpan w:val="3"/>
            <w:tcBorders>
              <w:top w:val="single" w:sz="4" w:space="0" w:color="000000"/>
              <w:left w:val="single" w:sz="4" w:space="0" w:color="000000"/>
              <w:bottom w:val="single" w:sz="4" w:space="0" w:color="000000"/>
              <w:right w:val="single" w:sz="4" w:space="0" w:color="000000"/>
            </w:tcBorders>
            <w:vAlign w:val="center"/>
          </w:tcPr>
          <w:p>
            <w:pPr>
              <w:pStyle w:val="Normal"/>
              <w:rPr>
                <w:rFonts w:ascii="Times New Roman" w:hAnsi="Times New Roman"/>
              </w:rPr>
            </w:pPr>
            <w:r>
              <w:rPr>
                <w:b/>
                <w:sz w:val="22"/>
                <w:szCs w:val="22"/>
                <w:lang w:val="en-US"/>
              </w:rPr>
              <w:t>Name and family name</w:t>
            </w:r>
          </w:p>
        </w:tc>
        <w:tc>
          <w:tcPr>
            <w:tcW w:w="5792" w:type="dxa"/>
            <w:gridSpan w:val="6"/>
            <w:tcBorders>
              <w:top w:val="single" w:sz="4" w:space="0" w:color="000000"/>
              <w:left w:val="single" w:sz="4" w:space="0" w:color="000000"/>
              <w:bottom w:val="single" w:sz="4" w:space="0" w:color="000000"/>
              <w:right w:val="single" w:sz="4" w:space="0" w:color="000000"/>
            </w:tcBorders>
            <w:vAlign w:val="center"/>
          </w:tcPr>
          <w:p>
            <w:pPr>
              <w:pStyle w:val="Normal"/>
              <w:rPr>
                <w:rFonts w:ascii="Times New Roman" w:hAnsi="Times New Roman"/>
              </w:rPr>
            </w:pPr>
            <w:r>
              <w:rPr>
                <w:sz w:val="22"/>
                <w:szCs w:val="22"/>
                <w:lang w:val="en-US"/>
              </w:rPr>
              <w:t>Darko Tanasković</w:t>
            </w:r>
          </w:p>
        </w:tc>
      </w:tr>
      <w:tr>
        <w:trPr>
          <w:trHeight w:val="227" w:hRule="atLeast"/>
        </w:trPr>
        <w:tc>
          <w:tcPr>
            <w:tcW w:w="3838" w:type="dxa"/>
            <w:gridSpan w:val="3"/>
            <w:tcBorders>
              <w:top w:val="single" w:sz="4" w:space="0" w:color="000000"/>
              <w:left w:val="single" w:sz="4" w:space="0" w:color="000000"/>
              <w:bottom w:val="single" w:sz="4" w:space="0" w:color="000000"/>
              <w:right w:val="single" w:sz="4" w:space="0" w:color="000000"/>
            </w:tcBorders>
            <w:vAlign w:val="center"/>
          </w:tcPr>
          <w:p>
            <w:pPr>
              <w:pStyle w:val="Normal"/>
              <w:rPr>
                <w:rFonts w:ascii="Times New Roman" w:hAnsi="Times New Roman"/>
              </w:rPr>
            </w:pPr>
            <w:r>
              <w:rPr>
                <w:b/>
                <w:sz w:val="22"/>
                <w:szCs w:val="22"/>
                <w:lang w:val="en-US"/>
              </w:rPr>
              <w:t xml:space="preserve">Title </w:t>
            </w:r>
          </w:p>
        </w:tc>
        <w:tc>
          <w:tcPr>
            <w:tcW w:w="5792" w:type="dxa"/>
            <w:gridSpan w:val="6"/>
            <w:tcBorders>
              <w:top w:val="single" w:sz="4" w:space="0" w:color="000000"/>
              <w:left w:val="single" w:sz="4" w:space="0" w:color="000000"/>
              <w:bottom w:val="single" w:sz="4" w:space="0" w:color="000000"/>
              <w:right w:val="single" w:sz="4" w:space="0" w:color="000000"/>
            </w:tcBorders>
            <w:vAlign w:val="center"/>
          </w:tcPr>
          <w:p>
            <w:pPr>
              <w:pStyle w:val="Normal"/>
              <w:rPr>
                <w:rFonts w:ascii="Times New Roman" w:hAnsi="Times New Roman"/>
              </w:rPr>
            </w:pPr>
            <w:r>
              <w:rPr>
                <w:b w:val="false"/>
                <w:i w:val="false"/>
                <w:strike w:val="false"/>
                <w:dstrike w:val="false"/>
                <w:outline w:val="false"/>
                <w:shadow w:val="false"/>
                <w:sz w:val="20"/>
                <w:szCs w:val="22"/>
                <w:u w:val="none"/>
                <w:em w:val="none"/>
                <w:lang w:val="en-US"/>
              </w:rPr>
              <w:t>Research professor</w:t>
            </w:r>
          </w:p>
        </w:tc>
      </w:tr>
      <w:tr>
        <w:trPr>
          <w:trHeight w:val="227" w:hRule="atLeast"/>
        </w:trPr>
        <w:tc>
          <w:tcPr>
            <w:tcW w:w="3838" w:type="dxa"/>
            <w:gridSpan w:val="3"/>
            <w:tcBorders>
              <w:top w:val="single" w:sz="4" w:space="0" w:color="000000"/>
              <w:left w:val="single" w:sz="4" w:space="0" w:color="000000"/>
              <w:bottom w:val="single" w:sz="4" w:space="0" w:color="000000"/>
              <w:right w:val="single" w:sz="4" w:space="0" w:color="000000"/>
            </w:tcBorders>
            <w:vAlign w:val="center"/>
          </w:tcPr>
          <w:p>
            <w:pPr>
              <w:pStyle w:val="Normal"/>
              <w:rPr>
                <w:rFonts w:ascii="Times New Roman" w:hAnsi="Times New Roman"/>
              </w:rPr>
            </w:pPr>
            <w:r>
              <w:rPr>
                <w:b/>
                <w:sz w:val="22"/>
                <w:szCs w:val="22"/>
                <w:lang w:val="en-US"/>
              </w:rPr>
              <w:t>Narrow scientific area</w:t>
            </w:r>
          </w:p>
        </w:tc>
        <w:tc>
          <w:tcPr>
            <w:tcW w:w="5792" w:type="dxa"/>
            <w:gridSpan w:val="6"/>
            <w:tcBorders>
              <w:top w:val="single" w:sz="4" w:space="0" w:color="000000"/>
              <w:left w:val="single" w:sz="4" w:space="0" w:color="000000"/>
              <w:bottom w:val="single" w:sz="4" w:space="0" w:color="000000"/>
              <w:right w:val="single" w:sz="4" w:space="0" w:color="000000"/>
            </w:tcBorders>
            <w:vAlign w:val="center"/>
          </w:tcPr>
          <w:p>
            <w:pPr>
              <w:pStyle w:val="Normal"/>
              <w:rPr>
                <w:rFonts w:ascii="Times New Roman" w:hAnsi="Times New Roman"/>
              </w:rPr>
            </w:pPr>
            <w:r>
              <w:rPr>
                <w:b w:val="false"/>
                <w:i w:val="false"/>
                <w:strike w:val="false"/>
                <w:dstrike w:val="false"/>
                <w:outline w:val="false"/>
                <w:shadow w:val="false"/>
                <w:sz w:val="20"/>
                <w:szCs w:val="22"/>
                <w:u w:val="none"/>
                <w:em w:val="none"/>
                <w:lang w:val="en-US"/>
              </w:rPr>
              <w:t>Condensed matter physics</w:t>
            </w:r>
            <w:r>
              <w:rPr>
                <w:b w:val="false"/>
                <w:i w:val="false"/>
                <w:strike w:val="false"/>
                <w:dstrike w:val="false"/>
                <w:outline w:val="false"/>
                <w:shadow w:val="false"/>
                <w:sz w:val="22"/>
                <w:szCs w:val="22"/>
                <w:u w:val="none"/>
                <w:em w:val="none"/>
                <w:lang w:val="en-US"/>
              </w:rPr>
              <w:t xml:space="preserve"> and statistical physics</w:t>
            </w:r>
          </w:p>
        </w:tc>
      </w:tr>
      <w:tr>
        <w:trPr>
          <w:trHeight w:val="227" w:hRule="atLeast"/>
        </w:trPr>
        <w:tc>
          <w:tcPr>
            <w:tcW w:w="2520" w:type="dxa"/>
            <w:gridSpan w:val="2"/>
            <w:tcBorders>
              <w:top w:val="single" w:sz="4" w:space="0" w:color="000000"/>
              <w:left w:val="single" w:sz="4" w:space="0" w:color="000000"/>
              <w:bottom w:val="single" w:sz="4" w:space="0" w:color="000000"/>
              <w:right w:val="single" w:sz="4" w:space="0" w:color="000000"/>
            </w:tcBorders>
            <w:vAlign w:val="center"/>
          </w:tcPr>
          <w:p>
            <w:pPr>
              <w:pStyle w:val="Normal"/>
              <w:rPr>
                <w:rFonts w:ascii="Times New Roman" w:hAnsi="Times New Roman"/>
              </w:rPr>
            </w:pPr>
            <w:r>
              <w:rPr>
                <w:b/>
                <w:sz w:val="22"/>
                <w:szCs w:val="22"/>
                <w:lang w:val="en-US"/>
              </w:rPr>
              <w:t>Academic career</w:t>
            </w:r>
          </w:p>
        </w:tc>
        <w:tc>
          <w:tcPr>
            <w:tcW w:w="1318" w:type="dxa"/>
            <w:tcBorders>
              <w:top w:val="single" w:sz="4" w:space="0" w:color="000000"/>
              <w:left w:val="single" w:sz="4" w:space="0" w:color="000000"/>
              <w:bottom w:val="single" w:sz="4" w:space="0" w:color="000000"/>
              <w:right w:val="single" w:sz="4" w:space="0" w:color="000000"/>
            </w:tcBorders>
            <w:vAlign w:val="center"/>
          </w:tcPr>
          <w:p>
            <w:pPr>
              <w:pStyle w:val="Normal"/>
              <w:rPr>
                <w:rFonts w:ascii="Times New Roman" w:hAnsi="Times New Roman"/>
              </w:rPr>
            </w:pPr>
            <w:r>
              <w:rPr>
                <w:sz w:val="22"/>
                <w:szCs w:val="22"/>
                <w:lang w:val="en-US"/>
              </w:rPr>
              <w:t xml:space="preserve">Year  </w:t>
            </w:r>
          </w:p>
        </w:tc>
        <w:tc>
          <w:tcPr>
            <w:tcW w:w="3452" w:type="dxa"/>
            <w:gridSpan w:val="4"/>
            <w:tcBorders>
              <w:top w:val="single" w:sz="4" w:space="0" w:color="000000"/>
              <w:left w:val="single" w:sz="4" w:space="0" w:color="000000"/>
              <w:bottom w:val="single" w:sz="4" w:space="0" w:color="000000"/>
              <w:right w:val="single" w:sz="4" w:space="0" w:color="000000"/>
            </w:tcBorders>
            <w:vAlign w:val="center"/>
          </w:tcPr>
          <w:p>
            <w:pPr>
              <w:pStyle w:val="Normal"/>
              <w:rPr>
                <w:rFonts w:ascii="Times New Roman" w:hAnsi="Times New Roman"/>
              </w:rPr>
            </w:pPr>
            <w:r>
              <w:rPr>
                <w:b w:val="false"/>
                <w:i w:val="false"/>
                <w:strike w:val="false"/>
                <w:dstrike w:val="false"/>
                <w:outline w:val="false"/>
                <w:shadow w:val="false"/>
                <w:sz w:val="20"/>
                <w:szCs w:val="22"/>
                <w:u w:val="none"/>
                <w:em w:val="none"/>
                <w:lang w:val="en-US"/>
              </w:rPr>
              <w:t>Awarding institution</w:t>
            </w:r>
          </w:p>
        </w:tc>
        <w:tc>
          <w:tcPr>
            <w:tcW w:w="2340" w:type="dxa"/>
            <w:gridSpan w:val="2"/>
            <w:tcBorders>
              <w:top w:val="single" w:sz="4" w:space="0" w:color="000000"/>
              <w:left w:val="single" w:sz="4" w:space="0" w:color="000000"/>
              <w:bottom w:val="single" w:sz="4" w:space="0" w:color="000000"/>
              <w:right w:val="single" w:sz="4" w:space="0" w:color="000000"/>
            </w:tcBorders>
            <w:vAlign w:val="center"/>
          </w:tcPr>
          <w:p>
            <w:pPr>
              <w:pStyle w:val="Normal"/>
              <w:rPr>
                <w:rFonts w:ascii="Times New Roman" w:hAnsi="Times New Roman"/>
              </w:rPr>
            </w:pPr>
            <w:r>
              <w:rPr>
                <w:b w:val="false"/>
                <w:i w:val="false"/>
                <w:strike w:val="false"/>
                <w:dstrike w:val="false"/>
                <w:outline w:val="false"/>
                <w:shadow w:val="false"/>
                <w:sz w:val="20"/>
                <w:szCs w:val="22"/>
                <w:u w:val="none"/>
                <w:em w:val="none"/>
                <w:lang w:val="en-US"/>
              </w:rPr>
              <w:t>Research Area</w:t>
            </w:r>
          </w:p>
        </w:tc>
      </w:tr>
      <w:tr>
        <w:trPr>
          <w:trHeight w:val="227" w:hRule="atLeast"/>
        </w:trPr>
        <w:tc>
          <w:tcPr>
            <w:tcW w:w="2520" w:type="dxa"/>
            <w:gridSpan w:val="2"/>
            <w:tcBorders>
              <w:top w:val="single" w:sz="4" w:space="0" w:color="000000"/>
              <w:left w:val="single" w:sz="4" w:space="0" w:color="000000"/>
              <w:bottom w:val="single" w:sz="4" w:space="0" w:color="000000"/>
              <w:right w:val="single" w:sz="4" w:space="0" w:color="000000"/>
            </w:tcBorders>
            <w:vAlign w:val="center"/>
          </w:tcPr>
          <w:p>
            <w:pPr>
              <w:pStyle w:val="Normal"/>
              <w:rPr>
                <w:rFonts w:ascii="Times New Roman" w:hAnsi="Times New Roman"/>
              </w:rPr>
            </w:pPr>
            <w:r>
              <w:rPr>
                <w:sz w:val="22"/>
                <w:szCs w:val="22"/>
                <w:lang w:val="en-US"/>
              </w:rPr>
              <w:t>Election to the title</w:t>
            </w:r>
          </w:p>
        </w:tc>
        <w:tc>
          <w:tcPr>
            <w:tcW w:w="131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sz w:val="22"/>
                <w:szCs w:val="22"/>
                <w:lang w:val="sr-CS"/>
              </w:rPr>
              <w:t>2018</w:t>
            </w:r>
          </w:p>
        </w:tc>
        <w:tc>
          <w:tcPr>
            <w:tcW w:w="3452" w:type="dxa"/>
            <w:gridSpan w:val="4"/>
            <w:tcBorders>
              <w:top w:val="single" w:sz="4" w:space="0" w:color="000000"/>
              <w:left w:val="single" w:sz="4" w:space="0" w:color="000000"/>
              <w:bottom w:val="single" w:sz="4" w:space="0" w:color="000000"/>
              <w:right w:val="single" w:sz="4" w:space="0" w:color="000000"/>
            </w:tcBorders>
            <w:vAlign w:val="center"/>
          </w:tcPr>
          <w:p>
            <w:pPr>
              <w:pStyle w:val="Normal"/>
              <w:rPr>
                <w:rFonts w:ascii="Times New Roman" w:hAnsi="Times New Roman"/>
              </w:rPr>
            </w:pPr>
            <w:r>
              <w:rPr>
                <w:b w:val="false"/>
                <w:i w:val="false"/>
                <w:strike w:val="false"/>
                <w:dstrike w:val="false"/>
                <w:outline w:val="false"/>
                <w:shadow w:val="false"/>
                <w:sz w:val="20"/>
                <w:szCs w:val="22"/>
                <w:u w:val="none"/>
                <w:em w:val="none"/>
                <w:lang w:val="en-US"/>
              </w:rPr>
              <w:t>Institute of Physics Belgrade</w:t>
            </w:r>
          </w:p>
        </w:tc>
        <w:tc>
          <w:tcPr>
            <w:tcW w:w="2340" w:type="dxa"/>
            <w:gridSpan w:val="2"/>
            <w:tcBorders>
              <w:top w:val="single" w:sz="4" w:space="0" w:color="000000"/>
              <w:left w:val="single" w:sz="4" w:space="0" w:color="000000"/>
              <w:bottom w:val="single" w:sz="4" w:space="0" w:color="000000"/>
              <w:right w:val="single" w:sz="4" w:space="0" w:color="000000"/>
            </w:tcBorders>
            <w:vAlign w:val="center"/>
          </w:tcPr>
          <w:p>
            <w:pPr>
              <w:pStyle w:val="Normal"/>
              <w:rPr>
                <w:rFonts w:ascii="Times New Roman" w:hAnsi="Times New Roman"/>
              </w:rPr>
            </w:pPr>
            <w:r>
              <w:rPr>
                <w:b w:val="false"/>
                <w:i w:val="false"/>
                <w:strike w:val="false"/>
                <w:dstrike w:val="false"/>
                <w:outline w:val="false"/>
                <w:shadow w:val="false"/>
                <w:sz w:val="20"/>
                <w:szCs w:val="22"/>
                <w:u w:val="none"/>
                <w:em w:val="none"/>
                <w:lang w:val="en-US"/>
              </w:rPr>
              <w:t>Condensed matter physics</w:t>
            </w:r>
            <w:r>
              <w:rPr>
                <w:b w:val="false"/>
                <w:i w:val="false"/>
                <w:strike w:val="false"/>
                <w:dstrike w:val="false"/>
                <w:outline w:val="false"/>
                <w:shadow w:val="false"/>
                <w:sz w:val="22"/>
                <w:szCs w:val="22"/>
                <w:u w:val="none"/>
                <w:em w:val="none"/>
                <w:lang w:val="en-US"/>
              </w:rPr>
              <w:t xml:space="preserve"> and statistical physics</w:t>
            </w:r>
          </w:p>
        </w:tc>
      </w:tr>
      <w:tr>
        <w:trPr>
          <w:trHeight w:val="227" w:hRule="atLeast"/>
        </w:trPr>
        <w:tc>
          <w:tcPr>
            <w:tcW w:w="2520" w:type="dxa"/>
            <w:gridSpan w:val="2"/>
            <w:tcBorders>
              <w:top w:val="single" w:sz="4" w:space="0" w:color="000000"/>
              <w:left w:val="single" w:sz="4" w:space="0" w:color="000000"/>
              <w:bottom w:val="single" w:sz="4" w:space="0" w:color="000000"/>
              <w:right w:val="single" w:sz="4" w:space="0" w:color="000000"/>
            </w:tcBorders>
            <w:vAlign w:val="center"/>
          </w:tcPr>
          <w:p>
            <w:pPr>
              <w:pStyle w:val="Normal"/>
              <w:rPr>
                <w:rFonts w:ascii="Times New Roman" w:hAnsi="Times New Roman"/>
              </w:rPr>
            </w:pPr>
            <w:r>
              <w:rPr>
                <w:sz w:val="22"/>
                <w:szCs w:val="22"/>
                <w:lang w:val="en-US"/>
              </w:rPr>
              <w:t>PhD</w:t>
            </w:r>
          </w:p>
        </w:tc>
        <w:tc>
          <w:tcPr>
            <w:tcW w:w="131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sz w:val="22"/>
                <w:szCs w:val="22"/>
                <w:lang w:val="sr-CS"/>
              </w:rPr>
              <w:t>2005</w:t>
            </w:r>
          </w:p>
        </w:tc>
        <w:tc>
          <w:tcPr>
            <w:tcW w:w="3452" w:type="dxa"/>
            <w:gridSpan w:val="4"/>
            <w:tcBorders>
              <w:top w:val="single" w:sz="4" w:space="0" w:color="000000"/>
              <w:left w:val="single" w:sz="4" w:space="0" w:color="000000"/>
              <w:bottom w:val="single" w:sz="4" w:space="0" w:color="000000"/>
              <w:right w:val="single" w:sz="4" w:space="0" w:color="000000"/>
            </w:tcBorders>
            <w:vAlign w:val="center"/>
          </w:tcPr>
          <w:p>
            <w:pPr>
              <w:pStyle w:val="Normal"/>
              <w:rPr>
                <w:rFonts w:ascii="Times New Roman" w:hAnsi="Times New Roman"/>
              </w:rPr>
            </w:pPr>
            <w:r>
              <w:rPr>
                <w:b w:val="false"/>
                <w:i w:val="false"/>
                <w:strike w:val="false"/>
                <w:dstrike w:val="false"/>
                <w:outline w:val="false"/>
                <w:shadow w:val="false"/>
                <w:sz w:val="20"/>
                <w:szCs w:val="22"/>
                <w:u w:val="none"/>
                <w:em w:val="none"/>
                <w:lang w:val="en-US"/>
              </w:rPr>
              <w:t>Florida State University, USA</w:t>
            </w:r>
          </w:p>
        </w:tc>
        <w:tc>
          <w:tcPr>
            <w:tcW w:w="2340" w:type="dxa"/>
            <w:gridSpan w:val="2"/>
            <w:tcBorders>
              <w:top w:val="single" w:sz="4" w:space="0" w:color="000000"/>
              <w:left w:val="single" w:sz="4" w:space="0" w:color="000000"/>
              <w:bottom w:val="single" w:sz="4" w:space="0" w:color="000000"/>
              <w:right w:val="single" w:sz="4" w:space="0" w:color="000000"/>
            </w:tcBorders>
            <w:vAlign w:val="center"/>
          </w:tcPr>
          <w:p>
            <w:pPr>
              <w:pStyle w:val="Normal"/>
              <w:rPr>
                <w:rFonts w:ascii="Times New Roman" w:hAnsi="Times New Roman"/>
              </w:rPr>
            </w:pPr>
            <w:r>
              <w:rPr>
                <w:b w:val="false"/>
                <w:i w:val="false"/>
                <w:strike w:val="false"/>
                <w:dstrike w:val="false"/>
                <w:outline w:val="false"/>
                <w:shadow w:val="false"/>
                <w:sz w:val="20"/>
                <w:szCs w:val="22"/>
                <w:u w:val="none"/>
                <w:em w:val="none"/>
                <w:lang w:val="en-US"/>
              </w:rPr>
              <w:t>Condensed matter physics</w:t>
            </w:r>
            <w:r>
              <w:rPr>
                <w:b w:val="false"/>
                <w:i w:val="false"/>
                <w:strike w:val="false"/>
                <w:dstrike w:val="false"/>
                <w:outline w:val="false"/>
                <w:shadow w:val="false"/>
                <w:sz w:val="22"/>
                <w:szCs w:val="22"/>
                <w:u w:val="none"/>
                <w:em w:val="none"/>
                <w:lang w:val="en-US"/>
              </w:rPr>
              <w:t xml:space="preserve"> and statistical physics</w:t>
            </w:r>
          </w:p>
        </w:tc>
      </w:tr>
      <w:tr>
        <w:trPr>
          <w:trHeight w:val="227" w:hRule="atLeast"/>
        </w:trPr>
        <w:tc>
          <w:tcPr>
            <w:tcW w:w="2520" w:type="dxa"/>
            <w:gridSpan w:val="2"/>
            <w:tcBorders>
              <w:top w:val="single" w:sz="4" w:space="0" w:color="000000"/>
              <w:left w:val="single" w:sz="4" w:space="0" w:color="000000"/>
              <w:bottom w:val="single" w:sz="4" w:space="0" w:color="000000"/>
              <w:right w:val="single" w:sz="4" w:space="0" w:color="000000"/>
            </w:tcBorders>
            <w:vAlign w:val="center"/>
          </w:tcPr>
          <w:p>
            <w:pPr>
              <w:pStyle w:val="Normal"/>
              <w:rPr>
                <w:rFonts w:ascii="Times New Roman" w:hAnsi="Times New Roman"/>
              </w:rPr>
            </w:pPr>
            <w:r>
              <w:rPr>
                <w:sz w:val="22"/>
                <w:szCs w:val="22"/>
                <w:lang w:val="en-US"/>
              </w:rPr>
              <w:t>Master degree</w:t>
            </w:r>
          </w:p>
        </w:tc>
        <w:tc>
          <w:tcPr>
            <w:tcW w:w="131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2000</w:t>
            </w:r>
          </w:p>
        </w:tc>
        <w:tc>
          <w:tcPr>
            <w:tcW w:w="3452" w:type="dxa"/>
            <w:gridSpan w:val="4"/>
            <w:tcBorders>
              <w:top w:val="single" w:sz="4" w:space="0" w:color="000000"/>
              <w:left w:val="single" w:sz="4" w:space="0" w:color="000000"/>
              <w:bottom w:val="single" w:sz="4" w:space="0" w:color="000000"/>
              <w:right w:val="single" w:sz="4" w:space="0" w:color="000000"/>
            </w:tcBorders>
            <w:vAlign w:val="center"/>
          </w:tcPr>
          <w:p>
            <w:pPr>
              <w:pStyle w:val="Normal"/>
              <w:rPr>
                <w:rFonts w:ascii="Times New Roman" w:hAnsi="Times New Roman"/>
              </w:rPr>
            </w:pPr>
            <w:r>
              <w:rPr>
                <w:b w:val="false"/>
                <w:i w:val="false"/>
                <w:strike w:val="false"/>
                <w:dstrike w:val="false"/>
                <w:outline w:val="false"/>
                <w:shadow w:val="false"/>
                <w:sz w:val="20"/>
                <w:szCs w:val="22"/>
                <w:u w:val="none"/>
                <w:em w:val="none"/>
                <w:lang w:val="en-US"/>
              </w:rPr>
              <w:t>Faculty of Physics, University of Belgrade</w:t>
            </w:r>
          </w:p>
        </w:tc>
        <w:tc>
          <w:tcPr>
            <w:tcW w:w="2340" w:type="dxa"/>
            <w:gridSpan w:val="2"/>
            <w:tcBorders>
              <w:top w:val="single" w:sz="4" w:space="0" w:color="000000"/>
              <w:left w:val="single" w:sz="4" w:space="0" w:color="000000"/>
              <w:bottom w:val="single" w:sz="4" w:space="0" w:color="000000"/>
              <w:right w:val="single" w:sz="4" w:space="0" w:color="000000"/>
            </w:tcBorders>
            <w:vAlign w:val="center"/>
          </w:tcPr>
          <w:p>
            <w:pPr>
              <w:pStyle w:val="Normal"/>
              <w:rPr>
                <w:rFonts w:ascii="Times New Roman" w:hAnsi="Times New Roman"/>
              </w:rPr>
            </w:pPr>
            <w:r>
              <w:rPr>
                <w:b w:val="false"/>
                <w:i w:val="false"/>
                <w:strike w:val="false"/>
                <w:dstrike w:val="false"/>
                <w:outline w:val="false"/>
                <w:shadow w:val="false"/>
                <w:sz w:val="20"/>
                <w:szCs w:val="22"/>
                <w:u w:val="none"/>
                <w:em w:val="none"/>
                <w:lang w:val="en-US"/>
              </w:rPr>
              <w:t>Condensed matter physics</w:t>
            </w:r>
            <w:r>
              <w:rPr>
                <w:b w:val="false"/>
                <w:i w:val="false"/>
                <w:strike w:val="false"/>
                <w:dstrike w:val="false"/>
                <w:outline w:val="false"/>
                <w:shadow w:val="false"/>
                <w:sz w:val="22"/>
                <w:szCs w:val="22"/>
                <w:u w:val="none"/>
                <w:em w:val="none"/>
                <w:lang w:val="en-US"/>
              </w:rPr>
              <w:t xml:space="preserve"> and statistical physics</w:t>
            </w:r>
          </w:p>
        </w:tc>
      </w:tr>
      <w:tr>
        <w:trPr>
          <w:trHeight w:val="227" w:hRule="atLeast"/>
        </w:trPr>
        <w:tc>
          <w:tcPr>
            <w:tcW w:w="2520" w:type="dxa"/>
            <w:gridSpan w:val="2"/>
            <w:tcBorders>
              <w:top w:val="single" w:sz="4" w:space="0" w:color="000000"/>
              <w:left w:val="single" w:sz="4" w:space="0" w:color="000000"/>
              <w:bottom w:val="single" w:sz="4" w:space="0" w:color="000000"/>
              <w:right w:val="single" w:sz="4" w:space="0" w:color="000000"/>
            </w:tcBorders>
            <w:vAlign w:val="center"/>
          </w:tcPr>
          <w:p>
            <w:pPr>
              <w:pStyle w:val="Normal"/>
              <w:rPr>
                <w:rFonts w:ascii="Times New Roman" w:hAnsi="Times New Roman"/>
              </w:rPr>
            </w:pPr>
            <w:r>
              <w:rPr>
                <w:sz w:val="22"/>
                <w:szCs w:val="22"/>
                <w:lang w:val="en-US"/>
              </w:rPr>
              <w:t>Master diploma</w:t>
            </w:r>
          </w:p>
        </w:tc>
        <w:tc>
          <w:tcPr>
            <w:tcW w:w="1318" w:type="dxa"/>
            <w:tcBorders>
              <w:top w:val="single" w:sz="4" w:space="0" w:color="000000"/>
              <w:left w:val="single" w:sz="4" w:space="0" w:color="000000"/>
              <w:bottom w:val="single" w:sz="4" w:space="0" w:color="000000"/>
              <w:right w:val="single" w:sz="4" w:space="0" w:color="000000"/>
            </w:tcBorders>
            <w:vAlign w:val="center"/>
          </w:tcPr>
          <w:p>
            <w:pPr>
              <w:pStyle w:val="Normal"/>
              <w:rPr>
                <w:rFonts w:ascii="Times New Roman" w:hAnsi="Times New Roman"/>
                <w:sz w:val="22"/>
                <w:szCs w:val="22"/>
                <w:lang w:val="en-US"/>
              </w:rPr>
            </w:pPr>
            <w:r>
              <w:rPr>
                <w:sz w:val="22"/>
                <w:szCs w:val="22"/>
                <w:lang w:val="en-US"/>
              </w:rPr>
            </w:r>
          </w:p>
        </w:tc>
        <w:tc>
          <w:tcPr>
            <w:tcW w:w="3452" w:type="dxa"/>
            <w:gridSpan w:val="4"/>
            <w:tcBorders>
              <w:top w:val="single" w:sz="4" w:space="0" w:color="000000"/>
              <w:left w:val="single" w:sz="4" w:space="0" w:color="000000"/>
              <w:bottom w:val="single" w:sz="4" w:space="0" w:color="000000"/>
              <w:right w:val="single" w:sz="4" w:space="0" w:color="000000"/>
            </w:tcBorders>
            <w:vAlign w:val="center"/>
          </w:tcPr>
          <w:p>
            <w:pPr>
              <w:pStyle w:val="Normal"/>
              <w:rPr>
                <w:rFonts w:ascii="Times New Roman" w:hAnsi="Times New Roman"/>
                <w:sz w:val="22"/>
                <w:szCs w:val="22"/>
                <w:lang w:val="en-US"/>
              </w:rPr>
            </w:pPr>
            <w:r>
              <w:rPr>
                <w:sz w:val="22"/>
                <w:szCs w:val="22"/>
                <w:lang w:val="en-US"/>
              </w:rPr>
            </w:r>
          </w:p>
        </w:tc>
        <w:tc>
          <w:tcPr>
            <w:tcW w:w="2340" w:type="dxa"/>
            <w:gridSpan w:val="2"/>
            <w:tcBorders>
              <w:top w:val="single" w:sz="4" w:space="0" w:color="000000"/>
              <w:left w:val="single" w:sz="4" w:space="0" w:color="000000"/>
              <w:bottom w:val="single" w:sz="4" w:space="0" w:color="000000"/>
              <w:right w:val="single" w:sz="4" w:space="0" w:color="000000"/>
            </w:tcBorders>
            <w:vAlign w:val="center"/>
          </w:tcPr>
          <w:p>
            <w:pPr>
              <w:pStyle w:val="Normal"/>
              <w:rPr>
                <w:rFonts w:ascii="Times New Roman" w:hAnsi="Times New Roman"/>
                <w:sz w:val="22"/>
                <w:szCs w:val="22"/>
                <w:lang w:val="en-US"/>
              </w:rPr>
            </w:pPr>
            <w:r>
              <w:rPr>
                <w:sz w:val="22"/>
                <w:szCs w:val="22"/>
                <w:lang w:val="en-US"/>
              </w:rPr>
            </w:r>
          </w:p>
        </w:tc>
      </w:tr>
      <w:tr>
        <w:trPr>
          <w:trHeight w:val="227" w:hRule="atLeast"/>
        </w:trPr>
        <w:tc>
          <w:tcPr>
            <w:tcW w:w="2520" w:type="dxa"/>
            <w:gridSpan w:val="2"/>
            <w:tcBorders>
              <w:top w:val="single" w:sz="4" w:space="0" w:color="000000"/>
              <w:left w:val="single" w:sz="4" w:space="0" w:color="000000"/>
              <w:bottom w:val="single" w:sz="4" w:space="0" w:color="000000"/>
              <w:right w:val="single" w:sz="4" w:space="0" w:color="000000"/>
            </w:tcBorders>
            <w:vAlign w:val="center"/>
          </w:tcPr>
          <w:p>
            <w:pPr>
              <w:pStyle w:val="Normal"/>
              <w:rPr>
                <w:rFonts w:ascii="Times New Roman" w:hAnsi="Times New Roman"/>
              </w:rPr>
            </w:pPr>
            <w:r>
              <w:rPr>
                <w:sz w:val="22"/>
                <w:szCs w:val="22"/>
                <w:lang w:val="en-US"/>
              </w:rPr>
              <w:t xml:space="preserve">Diploma </w:t>
            </w:r>
          </w:p>
        </w:tc>
        <w:tc>
          <w:tcPr>
            <w:tcW w:w="131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sz w:val="22"/>
                <w:szCs w:val="22"/>
                <w:lang w:val="sr-CS"/>
              </w:rPr>
              <w:t>1996</w:t>
            </w:r>
          </w:p>
        </w:tc>
        <w:tc>
          <w:tcPr>
            <w:tcW w:w="3452" w:type="dxa"/>
            <w:gridSpan w:val="4"/>
            <w:tcBorders>
              <w:top w:val="single" w:sz="4" w:space="0" w:color="000000"/>
              <w:left w:val="single" w:sz="4" w:space="0" w:color="000000"/>
              <w:bottom w:val="single" w:sz="4" w:space="0" w:color="000000"/>
              <w:right w:val="single" w:sz="4" w:space="0" w:color="000000"/>
            </w:tcBorders>
            <w:vAlign w:val="center"/>
          </w:tcPr>
          <w:p>
            <w:pPr>
              <w:pStyle w:val="Normal"/>
              <w:rPr>
                <w:rFonts w:ascii="Times New Roman" w:hAnsi="Times New Roman"/>
              </w:rPr>
            </w:pPr>
            <w:r>
              <w:rPr>
                <w:sz w:val="22"/>
                <w:szCs w:val="22"/>
                <w:lang w:val="en-US"/>
              </w:rPr>
              <w:t xml:space="preserve"> </w:t>
            </w:r>
            <w:r>
              <w:rPr>
                <w:b w:val="false"/>
                <w:i w:val="false"/>
                <w:strike w:val="false"/>
                <w:dstrike w:val="false"/>
                <w:outline w:val="false"/>
                <w:shadow w:val="false"/>
                <w:sz w:val="20"/>
                <w:szCs w:val="22"/>
                <w:u w:val="none"/>
                <w:em w:val="none"/>
                <w:lang w:val="en-US"/>
              </w:rPr>
              <w:t>Faculty of Physics, University of Belgrade</w:t>
            </w:r>
          </w:p>
          <w:p>
            <w:pPr>
              <w:pStyle w:val="Normal"/>
              <w:rPr>
                <w:rFonts w:ascii="Times New Roman" w:hAnsi="Times New Roman"/>
                <w:sz w:val="22"/>
                <w:szCs w:val="22"/>
                <w:lang w:val="en-US"/>
              </w:rPr>
            </w:pPr>
            <w:r>
              <w:rPr>
                <w:sz w:val="22"/>
                <w:szCs w:val="22"/>
                <w:lang w:val="en-US"/>
              </w:rPr>
            </w:r>
          </w:p>
        </w:tc>
        <w:tc>
          <w:tcPr>
            <w:tcW w:w="2340" w:type="dxa"/>
            <w:gridSpan w:val="2"/>
            <w:tcBorders>
              <w:top w:val="single" w:sz="4" w:space="0" w:color="000000"/>
              <w:left w:val="single" w:sz="4" w:space="0" w:color="000000"/>
              <w:bottom w:val="single" w:sz="4" w:space="0" w:color="000000"/>
              <w:right w:val="single" w:sz="4" w:space="0" w:color="000000"/>
            </w:tcBorders>
            <w:vAlign w:val="center"/>
          </w:tcPr>
          <w:p>
            <w:pPr>
              <w:pStyle w:val="Normal"/>
              <w:rPr>
                <w:rFonts w:ascii="Times New Roman" w:hAnsi="Times New Roman"/>
              </w:rPr>
            </w:pPr>
            <w:r>
              <w:rPr>
                <w:b w:val="false"/>
                <w:i w:val="false"/>
                <w:strike w:val="false"/>
                <w:dstrike w:val="false"/>
                <w:outline w:val="false"/>
                <w:shadow w:val="false"/>
                <w:sz w:val="20"/>
                <w:szCs w:val="22"/>
                <w:u w:val="none"/>
                <w:em w:val="none"/>
                <w:lang w:val="en-US"/>
              </w:rPr>
              <w:t>Condensed matter physics</w:t>
            </w:r>
            <w:r>
              <w:rPr>
                <w:b w:val="false"/>
                <w:i w:val="false"/>
                <w:strike w:val="false"/>
                <w:dstrike w:val="false"/>
                <w:outline w:val="false"/>
                <w:shadow w:val="false"/>
                <w:sz w:val="22"/>
                <w:szCs w:val="22"/>
                <w:u w:val="none"/>
                <w:em w:val="none"/>
                <w:lang w:val="en-US"/>
              </w:rPr>
              <w:t xml:space="preserve"> and statistical physics</w:t>
            </w:r>
          </w:p>
        </w:tc>
      </w:tr>
      <w:tr>
        <w:trPr>
          <w:trHeight w:val="227" w:hRule="atLeast"/>
        </w:trPr>
        <w:tc>
          <w:tcPr>
            <w:tcW w:w="9630" w:type="dxa"/>
            <w:gridSpan w:val="9"/>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sz w:val="22"/>
                <w:szCs w:val="22"/>
                <w:lang w:val="en-US"/>
              </w:rPr>
              <w:t xml:space="preserve">A list of dissertations-doctoral art projects in which the teacher is or was a mentor in the past 10 years </w:t>
            </w:r>
          </w:p>
        </w:tc>
      </w:tr>
      <w:tr>
        <w:trPr>
          <w:trHeight w:val="227" w:hRule="atLeast"/>
        </w:trPr>
        <w:tc>
          <w:tcPr>
            <w:tcW w:w="627"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sz w:val="22"/>
                <w:szCs w:val="22"/>
                <w:lang w:val="en-US"/>
              </w:rPr>
              <w:t>No.</w:t>
            </w:r>
          </w:p>
        </w:tc>
        <w:tc>
          <w:tcPr>
            <w:tcW w:w="3780"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sz w:val="22"/>
                <w:szCs w:val="22"/>
                <w:lang w:val="en-US"/>
              </w:rPr>
              <w:t>Title of the dissertation – doctoral art project</w:t>
            </w:r>
          </w:p>
        </w:tc>
        <w:tc>
          <w:tcPr>
            <w:tcW w:w="252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sz w:val="22"/>
                <w:szCs w:val="22"/>
                <w:lang w:val="en-US"/>
              </w:rPr>
              <w:t xml:space="preserve">Name of the candidate </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sz w:val="22"/>
                <w:szCs w:val="22"/>
                <w:lang w:val="en-US"/>
              </w:rPr>
              <w:t xml:space="preserve">*submitted </w:t>
            </w:r>
          </w:p>
        </w:tc>
        <w:tc>
          <w:tcPr>
            <w:tcW w:w="135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sz w:val="22"/>
                <w:szCs w:val="22"/>
                <w:lang w:val="en-US"/>
              </w:rPr>
              <w:t>** defended</w:t>
            </w:r>
          </w:p>
        </w:tc>
      </w:tr>
      <w:tr>
        <w:trPr>
          <w:trHeight w:val="227" w:hRule="atLeast"/>
        </w:trPr>
        <w:tc>
          <w:tcPr>
            <w:tcW w:w="627"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1</w:t>
            </w:r>
          </w:p>
        </w:tc>
        <w:tc>
          <w:tcPr>
            <w:tcW w:w="3780"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Magnetic Impurities in Superconductors: Subgap States in Quantum Dots and Effects of Periodic Local Moments</w:t>
            </w:r>
          </w:p>
        </w:tc>
        <w:tc>
          <w:tcPr>
            <w:tcW w:w="252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Willem-Victor van Gerven</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lang w:val="sr-CS"/>
              </w:rPr>
            </w:pPr>
            <w:r>
              <w:rPr>
                <w:lang w:val="sr-CS"/>
              </w:rPr>
            </w:r>
          </w:p>
        </w:tc>
        <w:tc>
          <w:tcPr>
            <w:tcW w:w="135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2020</w:t>
            </w:r>
          </w:p>
        </w:tc>
      </w:tr>
      <w:tr>
        <w:trPr>
          <w:trHeight w:val="227" w:hRule="atLeast"/>
        </w:trPr>
        <w:tc>
          <w:tcPr>
            <w:tcW w:w="627"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2</w:t>
            </w:r>
          </w:p>
        </w:tc>
        <w:tc>
          <w:tcPr>
            <w:tcW w:w="3780"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Signatures of Hidden Quantum Criticality in the High-temperature Charge Transport Near the Mott Transition</w:t>
            </w:r>
          </w:p>
        </w:tc>
        <w:tc>
          <w:tcPr>
            <w:tcW w:w="252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Jakša Vučičević</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lang w:val="sr-CS"/>
              </w:rPr>
            </w:pPr>
            <w:r>
              <w:rPr>
                <w:lang w:val="sr-CS"/>
              </w:rPr>
            </w:r>
          </w:p>
        </w:tc>
        <w:tc>
          <w:tcPr>
            <w:tcW w:w="135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2015</w:t>
            </w:r>
          </w:p>
        </w:tc>
      </w:tr>
      <w:tr>
        <w:trPr>
          <w:trHeight w:val="227" w:hRule="atLeast"/>
        </w:trPr>
        <w:tc>
          <w:tcPr>
            <w:tcW w:w="627"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3</w:t>
            </w:r>
          </w:p>
        </w:tc>
        <w:tc>
          <w:tcPr>
            <w:tcW w:w="3780"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Influence of Disorder on Charge Transport in Strongly Correlated Materials Near the Metal-insulator transition</w:t>
            </w:r>
          </w:p>
        </w:tc>
        <w:tc>
          <w:tcPr>
            <w:tcW w:w="252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Miloš Radonjić</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lang w:val="sr-CS"/>
              </w:rPr>
            </w:pPr>
            <w:r>
              <w:rPr>
                <w:lang w:val="sr-CS"/>
              </w:rPr>
            </w:r>
          </w:p>
        </w:tc>
        <w:tc>
          <w:tcPr>
            <w:tcW w:w="135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lang w:val="sr-CS"/>
              </w:rPr>
              <w:t>2014</w:t>
            </w:r>
          </w:p>
        </w:tc>
      </w:tr>
      <w:tr>
        <w:trPr>
          <w:trHeight w:val="227" w:hRule="atLeast"/>
        </w:trPr>
        <w:tc>
          <w:tcPr>
            <w:tcW w:w="9630" w:type="dxa"/>
            <w:gridSpan w:val="9"/>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sz w:val="22"/>
                <w:szCs w:val="22"/>
                <w:lang w:val="en-US"/>
              </w:rPr>
              <w:t>*</w:t>
            </w:r>
            <w:r>
              <w:rPr>
                <w:lang w:val="en-US"/>
              </w:rPr>
              <w:t xml:space="preserve"> </w:t>
            </w:r>
            <w:r>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trPr>
          <w:trHeight w:val="227" w:hRule="atLeast"/>
        </w:trPr>
        <w:tc>
          <w:tcPr>
            <w:tcW w:w="9630" w:type="dxa"/>
            <w:gridSpan w:val="9"/>
            <w:tcBorders>
              <w:top w:val="single" w:sz="4" w:space="0" w:color="000000"/>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pPr>
              <w:pStyle w:val="Normal"/>
              <w:spacing w:before="0" w:after="60"/>
              <w:jc w:val="both"/>
              <w:rPr>
                <w:rFonts w:ascii="Times New Roman" w:hAnsi="Times New Roman"/>
              </w:rPr>
            </w:pPr>
            <w:r>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trPr>
          <w:trHeight w:val="227" w:hRule="atLeast"/>
        </w:trPr>
        <w:tc>
          <w:tcPr>
            <w:tcW w:w="627"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val="false"/>
                <w:bCs w:val="false"/>
                <w:sz w:val="20"/>
                <w:szCs w:val="20"/>
                <w:lang w:val="sr-CS"/>
              </w:rPr>
              <w:t>1</w:t>
            </w:r>
          </w:p>
        </w:tc>
        <w:tc>
          <w:tcPr>
            <w:tcW w:w="7650" w:type="dxa"/>
            <w:gridSpan w:val="7"/>
            <w:tcBorders>
              <w:top w:val="single" w:sz="4" w:space="0" w:color="000000"/>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b w:val="false"/>
                <w:bCs w:val="false"/>
                <w:i w:val="false"/>
                <w:iCs w:val="false"/>
                <w:sz w:val="20"/>
                <w:szCs w:val="20"/>
                <w:lang w:val="sr-CS"/>
              </w:rPr>
              <w:t>A. Vranic, J. Vucicevic, J. Kokalj, J. Skolimowski, R. Zitko, J. Mravlje, and D. Tanaskovic, "</w:t>
            </w:r>
            <w:r>
              <w:rPr>
                <w:b w:val="false"/>
                <w:bCs w:val="false"/>
                <w:i/>
                <w:iCs/>
                <w:sz w:val="20"/>
                <w:szCs w:val="20"/>
                <w:lang w:val="sr-CS"/>
              </w:rPr>
              <w:t>Charge Transport in the Hubbard Model at High Temperatures: Triangular Versus Square Lattice</w:t>
            </w:r>
            <w:r>
              <w:rPr>
                <w:b w:val="false"/>
                <w:bCs w:val="false"/>
                <w:i w:val="false"/>
                <w:iCs w:val="false"/>
                <w:sz w:val="20"/>
                <w:szCs w:val="20"/>
                <w:lang w:val="sr-CS"/>
              </w:rPr>
              <w:t>", Phys. Rev. B 102, 115142 (2020).</w:t>
            </w:r>
          </w:p>
        </w:tc>
        <w:tc>
          <w:tcPr>
            <w:tcW w:w="135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b w:val="false"/>
                <w:bCs w:val="false"/>
                <w:i w:val="false"/>
                <w:iCs w:val="false"/>
                <w:sz w:val="20"/>
                <w:szCs w:val="20"/>
                <w:lang w:val="sr-CS"/>
              </w:rPr>
              <w:t xml:space="preserve">IF=3.736 </w:t>
            </w:r>
          </w:p>
          <w:p>
            <w:pPr>
              <w:pStyle w:val="Normal"/>
              <w:spacing w:before="0" w:after="60"/>
              <w:jc w:val="both"/>
              <w:rPr>
                <w:rFonts w:ascii="Times New Roman" w:hAnsi="Times New Roman"/>
              </w:rPr>
            </w:pPr>
            <w:r>
              <w:rPr>
                <w:b w:val="false"/>
                <w:bCs w:val="false"/>
                <w:i w:val="false"/>
                <w:iCs w:val="false"/>
                <w:sz w:val="20"/>
                <w:szCs w:val="20"/>
                <w:lang w:val="sr-CS"/>
              </w:rPr>
              <w:t>M21</w:t>
            </w:r>
          </w:p>
        </w:tc>
      </w:tr>
      <w:tr>
        <w:trPr>
          <w:trHeight w:val="227" w:hRule="atLeast"/>
        </w:trPr>
        <w:tc>
          <w:tcPr>
            <w:tcW w:w="627"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val="false"/>
                <w:bCs w:val="false"/>
                <w:sz w:val="20"/>
                <w:szCs w:val="20"/>
                <w:lang w:val="sr-CS"/>
              </w:rPr>
              <w:t>2</w:t>
            </w:r>
          </w:p>
        </w:tc>
        <w:tc>
          <w:tcPr>
            <w:tcW w:w="7650" w:type="dxa"/>
            <w:gridSpan w:val="7"/>
            <w:tcBorders>
              <w:top w:val="single" w:sz="4" w:space="0" w:color="000000"/>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b w:val="false"/>
                <w:bCs w:val="false"/>
                <w:i w:val="false"/>
                <w:iCs w:val="false"/>
                <w:sz w:val="20"/>
                <w:szCs w:val="20"/>
                <w:lang w:val="sr-CS"/>
              </w:rPr>
              <w:t>W. van Gerven Oei and D. Tanaskovic: "</w:t>
            </w:r>
            <w:r>
              <w:rPr>
                <w:b w:val="false"/>
                <w:bCs w:val="false"/>
                <w:i/>
                <w:iCs/>
                <w:sz w:val="20"/>
                <w:szCs w:val="20"/>
                <w:lang w:val="sr-CS"/>
              </w:rPr>
              <w:t>Reentrant S-wave Superconductivity in the Periodic Anderson Model with Attractive Conduction Band Hubbard Interaction</w:t>
            </w:r>
            <w:r>
              <w:rPr>
                <w:b w:val="false"/>
                <w:bCs w:val="false"/>
                <w:i w:val="false"/>
                <w:iCs w:val="false"/>
                <w:sz w:val="20"/>
                <w:szCs w:val="20"/>
                <w:lang w:val="sr-CS"/>
              </w:rPr>
              <w:t>", J. Phys. Cond. Matt. 32, 325601 (2020).</w:t>
            </w:r>
          </w:p>
        </w:tc>
        <w:tc>
          <w:tcPr>
            <w:tcW w:w="135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b w:val="false"/>
                <w:bCs w:val="false"/>
                <w:i w:val="false"/>
                <w:iCs w:val="false"/>
                <w:sz w:val="20"/>
                <w:szCs w:val="20"/>
                <w:lang w:val="sr-CS"/>
              </w:rPr>
              <w:t>IF=2.707</w:t>
            </w:r>
          </w:p>
          <w:p>
            <w:pPr>
              <w:pStyle w:val="Normal"/>
              <w:spacing w:before="0" w:after="60"/>
              <w:jc w:val="both"/>
              <w:rPr>
                <w:rFonts w:ascii="Times New Roman" w:hAnsi="Times New Roman"/>
              </w:rPr>
            </w:pPr>
            <w:r>
              <w:rPr>
                <w:b w:val="false"/>
                <w:bCs w:val="false"/>
                <w:i w:val="false"/>
                <w:iCs w:val="false"/>
                <w:sz w:val="20"/>
                <w:szCs w:val="20"/>
                <w:lang w:val="sr-CS"/>
              </w:rPr>
              <w:t>M22</w:t>
            </w:r>
          </w:p>
        </w:tc>
      </w:tr>
      <w:tr>
        <w:trPr>
          <w:trHeight w:val="227" w:hRule="atLeast"/>
        </w:trPr>
        <w:tc>
          <w:tcPr>
            <w:tcW w:w="627"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val="false"/>
                <w:bCs w:val="false"/>
                <w:sz w:val="20"/>
                <w:szCs w:val="20"/>
                <w:lang w:val="sr-CS"/>
              </w:rPr>
              <w:t>3</w:t>
            </w:r>
          </w:p>
        </w:tc>
        <w:tc>
          <w:tcPr>
            <w:tcW w:w="7650" w:type="dxa"/>
            <w:gridSpan w:val="7"/>
            <w:tcBorders>
              <w:top w:val="single" w:sz="4" w:space="0" w:color="000000"/>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b w:val="false"/>
                <w:bCs w:val="false"/>
                <w:i w:val="false"/>
                <w:iCs w:val="false"/>
                <w:sz w:val="20"/>
                <w:szCs w:val="20"/>
                <w:lang w:val="sr-CS"/>
              </w:rPr>
              <w:t>J. Vucicevic, J. Kokalj, R. Zitko, N. Wentzell, D. Tanaskovic, and J. Mravlje, "</w:t>
            </w:r>
            <w:r>
              <w:rPr>
                <w:b w:val="false"/>
                <w:bCs w:val="false"/>
                <w:i/>
                <w:iCs/>
                <w:sz w:val="20"/>
                <w:szCs w:val="20"/>
                <w:lang w:val="sr-CS"/>
              </w:rPr>
              <w:t>Conductivity in the Square Lattice Hubbard Model at High Temperatures: Importance of Vertex Corrections</w:t>
            </w:r>
            <w:r>
              <w:rPr>
                <w:b w:val="false"/>
                <w:bCs w:val="false"/>
                <w:i w:val="false"/>
                <w:iCs w:val="false"/>
                <w:sz w:val="20"/>
                <w:szCs w:val="20"/>
                <w:lang w:val="sr-CS"/>
              </w:rPr>
              <w:t>", Phys. Rev. Lett. 123, 036601 (2019).</w:t>
            </w:r>
          </w:p>
        </w:tc>
        <w:tc>
          <w:tcPr>
            <w:tcW w:w="135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b w:val="false"/>
                <w:bCs w:val="false"/>
                <w:sz w:val="20"/>
                <w:szCs w:val="20"/>
                <w:lang w:val="sr-CS"/>
              </w:rPr>
              <w:t>IF=9.227</w:t>
            </w:r>
          </w:p>
          <w:p>
            <w:pPr>
              <w:pStyle w:val="Normal"/>
              <w:spacing w:before="0" w:after="60"/>
              <w:jc w:val="both"/>
              <w:rPr>
                <w:rFonts w:ascii="Times New Roman" w:hAnsi="Times New Roman"/>
              </w:rPr>
            </w:pPr>
            <w:r>
              <w:rPr>
                <w:b w:val="false"/>
                <w:bCs w:val="false"/>
                <w:sz w:val="20"/>
                <w:szCs w:val="20"/>
                <w:lang w:val="sr-CS"/>
              </w:rPr>
              <w:t>M21a</w:t>
            </w:r>
          </w:p>
        </w:tc>
      </w:tr>
      <w:tr>
        <w:trPr>
          <w:trHeight w:val="227" w:hRule="atLeast"/>
        </w:trPr>
        <w:tc>
          <w:tcPr>
            <w:tcW w:w="627"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val="false"/>
                <w:bCs w:val="false"/>
                <w:sz w:val="20"/>
                <w:szCs w:val="20"/>
                <w:lang w:val="sr-CS"/>
              </w:rPr>
              <w:t>4</w:t>
            </w:r>
          </w:p>
        </w:tc>
        <w:tc>
          <w:tcPr>
            <w:tcW w:w="7650" w:type="dxa"/>
            <w:gridSpan w:val="7"/>
            <w:tcBorders>
              <w:top w:val="single" w:sz="4" w:space="0" w:color="000000"/>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b w:val="false"/>
                <w:bCs w:val="false"/>
                <w:i w:val="false"/>
                <w:iCs w:val="false"/>
                <w:sz w:val="20"/>
                <w:szCs w:val="20"/>
                <w:lang w:val="sr-CS"/>
              </w:rPr>
              <w:t>M. Opacic, N. Lazarevic, D. Tanaskovic, M. M. Radonjic, A. Milosavljevic, Y. Ma, C. Petrovic, and Z. V. Popovic, "S</w:t>
            </w:r>
            <w:r>
              <w:rPr>
                <w:b w:val="false"/>
                <w:bCs w:val="false"/>
                <w:i/>
                <w:iCs/>
                <w:sz w:val="20"/>
                <w:szCs w:val="20"/>
                <w:lang w:val="sr-CS"/>
              </w:rPr>
              <w:t>mall Influence of Magnetic Ordering on Lattice Dynamics in TaFe1.25Te3</w:t>
            </w:r>
            <w:r>
              <w:rPr>
                <w:b w:val="false"/>
                <w:bCs w:val="false"/>
                <w:i w:val="false"/>
                <w:iCs w:val="false"/>
                <w:sz w:val="20"/>
                <w:szCs w:val="20"/>
                <w:lang w:val="sr-CS"/>
              </w:rPr>
              <w:t>", Phys. Rev. B 96, 174303 (2017).</w:t>
            </w:r>
          </w:p>
        </w:tc>
        <w:tc>
          <w:tcPr>
            <w:tcW w:w="135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b w:val="false"/>
                <w:bCs w:val="false"/>
                <w:i w:val="false"/>
                <w:iCs w:val="false"/>
                <w:sz w:val="20"/>
                <w:szCs w:val="20"/>
                <w:lang w:val="sr-CS"/>
              </w:rPr>
              <w:t>IF=3.736</w:t>
            </w:r>
          </w:p>
          <w:p>
            <w:pPr>
              <w:pStyle w:val="Normal"/>
              <w:spacing w:before="0" w:after="60"/>
              <w:jc w:val="both"/>
              <w:rPr>
                <w:rFonts w:ascii="Times New Roman" w:hAnsi="Times New Roman"/>
              </w:rPr>
            </w:pPr>
            <w:r>
              <w:rPr>
                <w:b w:val="false"/>
                <w:bCs w:val="false"/>
                <w:i w:val="false"/>
                <w:iCs w:val="false"/>
                <w:sz w:val="20"/>
                <w:szCs w:val="20"/>
                <w:lang w:val="sr-CS"/>
              </w:rPr>
              <w:t>M21</w:t>
            </w:r>
          </w:p>
        </w:tc>
      </w:tr>
      <w:tr>
        <w:trPr>
          <w:trHeight w:val="227" w:hRule="atLeast"/>
        </w:trPr>
        <w:tc>
          <w:tcPr>
            <w:tcW w:w="627"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val="false"/>
                <w:bCs w:val="false"/>
                <w:sz w:val="20"/>
                <w:szCs w:val="20"/>
                <w:lang w:val="sr-CS"/>
              </w:rPr>
              <w:t>5</w:t>
            </w:r>
          </w:p>
        </w:tc>
        <w:tc>
          <w:tcPr>
            <w:tcW w:w="7650" w:type="dxa"/>
            <w:gridSpan w:val="7"/>
            <w:tcBorders>
              <w:top w:val="single" w:sz="4" w:space="0" w:color="000000"/>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b w:val="false"/>
                <w:bCs w:val="false"/>
                <w:i w:val="false"/>
                <w:iCs w:val="false"/>
                <w:sz w:val="20"/>
                <w:szCs w:val="20"/>
                <w:lang w:val="sr-CS"/>
              </w:rPr>
              <w:t xml:space="preserve">W. van Gerven Oei, D. Tanasković, and R. Žitko, </w:t>
            </w:r>
            <w:r>
              <w:rPr>
                <w:b w:val="false"/>
                <w:bCs w:val="false"/>
                <w:i/>
                <w:iCs/>
                <w:sz w:val="20"/>
                <w:szCs w:val="20"/>
                <w:lang w:val="sr-CS"/>
              </w:rPr>
              <w:t>Magnetic Impurities in Spin-split Superconductors</w:t>
            </w:r>
            <w:r>
              <w:rPr>
                <w:b w:val="false"/>
                <w:bCs w:val="false"/>
                <w:i w:val="false"/>
                <w:iCs w:val="false"/>
                <w:sz w:val="20"/>
                <w:szCs w:val="20"/>
                <w:lang w:val="sr-CS"/>
              </w:rPr>
              <w:t>, Phys. Rev. B 95, 085115 (2017)</w:t>
            </w:r>
            <w:r>
              <w:rPr>
                <w:rFonts w:eastAsia="KIWFZJ+CMR10" w:cs="KIWFZJ+CMR10"/>
                <w:b w:val="false"/>
                <w:bCs w:val="false"/>
                <w:i w:val="false"/>
                <w:iCs w:val="false"/>
                <w:sz w:val="20"/>
                <w:szCs w:val="20"/>
                <w:lang w:val="sr-CS"/>
              </w:rPr>
              <w:t>.</w:t>
            </w:r>
          </w:p>
          <w:p>
            <w:pPr>
              <w:pStyle w:val="Normal"/>
              <w:spacing w:before="0" w:after="60"/>
              <w:jc w:val="both"/>
              <w:rPr>
                <w:rFonts w:ascii="Times New Roman" w:hAnsi="Times New Roman" w:eastAsia="KIWFZJ+CMR10" w:cs="KIWFZJ+CMR10"/>
              </w:rPr>
            </w:pPr>
            <w:r>
              <w:rPr>
                <w:rFonts w:eastAsia="KIWFZJ+CMR10" w:cs="KIWFZJ+CMR10"/>
              </w:rPr>
            </w:r>
          </w:p>
        </w:tc>
        <w:tc>
          <w:tcPr>
            <w:tcW w:w="135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b w:val="false"/>
                <w:bCs w:val="false"/>
                <w:i w:val="false"/>
                <w:iCs w:val="false"/>
                <w:sz w:val="20"/>
                <w:szCs w:val="20"/>
                <w:lang w:val="sr-CS"/>
              </w:rPr>
              <w:t xml:space="preserve"> </w:t>
            </w:r>
            <w:r>
              <w:rPr>
                <w:b w:val="false"/>
                <w:bCs w:val="false"/>
                <w:i w:val="false"/>
                <w:iCs w:val="false"/>
                <w:sz w:val="20"/>
                <w:szCs w:val="20"/>
                <w:lang w:val="sr-CS"/>
              </w:rPr>
              <w:t>IF</w:t>
            </w:r>
            <w:r>
              <w:rPr>
                <w:rFonts w:eastAsia="KIWFZJ+CMR10" w:cs="KIWFZJ+CMR10"/>
                <w:b w:val="false"/>
                <w:bCs w:val="false"/>
                <w:i w:val="false"/>
                <w:iCs w:val="false"/>
                <w:sz w:val="20"/>
                <w:szCs w:val="20"/>
                <w:lang w:val="sr-CS"/>
              </w:rPr>
              <w:t>=3.813</w:t>
            </w:r>
          </w:p>
          <w:p>
            <w:pPr>
              <w:pStyle w:val="Normal"/>
              <w:spacing w:before="0" w:after="60"/>
              <w:jc w:val="both"/>
              <w:rPr>
                <w:rFonts w:ascii="Times New Roman" w:hAnsi="Times New Roman"/>
              </w:rPr>
            </w:pPr>
            <w:r>
              <w:rPr>
                <w:rFonts w:eastAsia="KIWFZJ+CMR10" w:cs="KIWFZJ+CMR10"/>
                <w:b w:val="false"/>
                <w:bCs w:val="false"/>
                <w:i w:val="false"/>
                <w:iCs w:val="false"/>
                <w:sz w:val="20"/>
                <w:szCs w:val="20"/>
                <w:lang w:val="sr-CS"/>
              </w:rPr>
              <w:t>M21</w:t>
            </w:r>
          </w:p>
        </w:tc>
      </w:tr>
      <w:tr>
        <w:trPr>
          <w:trHeight w:val="227" w:hRule="atLeast"/>
        </w:trPr>
        <w:tc>
          <w:tcPr>
            <w:tcW w:w="627"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val="false"/>
                <w:bCs w:val="false"/>
                <w:sz w:val="20"/>
                <w:szCs w:val="20"/>
                <w:lang w:val="sr-CS"/>
              </w:rPr>
              <w:t>6</w:t>
            </w:r>
          </w:p>
        </w:tc>
        <w:tc>
          <w:tcPr>
            <w:tcW w:w="7650" w:type="dxa"/>
            <w:gridSpan w:val="7"/>
            <w:tcBorders>
              <w:top w:val="single" w:sz="4" w:space="0" w:color="000000"/>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rFonts w:eastAsia="KIWFZJ+CMR10" w:cs="KIWFZJ+CMR10"/>
                <w:b w:val="false"/>
                <w:bCs w:val="false"/>
                <w:i w:val="false"/>
                <w:iCs w:val="false"/>
                <w:sz w:val="20"/>
                <w:szCs w:val="20"/>
                <w:lang w:val="sr-CS"/>
              </w:rPr>
              <w:t xml:space="preserve">M. Opačić, N. Lazarević, M. M. Radonjić, M. Sćepanović, H. Ryu, A. Wang, D. Tanasković, C. Petrovic, and Z. V. Popović, </w:t>
            </w:r>
            <w:r>
              <w:rPr>
                <w:rFonts w:eastAsia="KIWFZJ+CMR10" w:cs="KIWFZJ+CMR10"/>
                <w:b w:val="false"/>
                <w:bCs w:val="false"/>
                <w:i/>
                <w:iCs/>
                <w:sz w:val="20"/>
                <w:szCs w:val="20"/>
                <w:lang w:val="sr-CS"/>
              </w:rPr>
              <w:t>Raman Spectroscopy of K</w:t>
            </w:r>
            <w:r>
              <w:rPr>
                <w:rFonts w:eastAsia="KIWFZJ+CMR10" w:cs="KIWFZJ+CMR10"/>
                <w:b w:val="false"/>
                <w:bCs w:val="false"/>
                <w:i/>
                <w:iCs/>
                <w:position w:val="-7"/>
                <w:sz w:val="20"/>
                <w:szCs w:val="20"/>
                <w:lang w:val="sr-CS"/>
              </w:rPr>
              <w:t>x</w:t>
            </w:r>
            <w:r>
              <w:rPr>
                <w:rFonts w:eastAsia="KIWFZJ+CMR10" w:cs="KIWFZJ+CMR10"/>
                <w:b w:val="false"/>
                <w:bCs w:val="false"/>
                <w:i/>
                <w:iCs/>
                <w:sz w:val="20"/>
                <w:szCs w:val="20"/>
                <w:lang w:val="sr-CS"/>
              </w:rPr>
              <w:t>Co</w:t>
            </w:r>
            <w:r>
              <w:rPr>
                <w:rFonts w:eastAsia="KIWFZJ+CMR10" w:cs="KIWFZJ+CMR10"/>
                <w:b w:val="false"/>
                <w:bCs w:val="false"/>
                <w:i/>
                <w:iCs/>
                <w:position w:val="-7"/>
                <w:sz w:val="20"/>
                <w:szCs w:val="20"/>
                <w:lang w:val="sr-CS"/>
              </w:rPr>
              <w:t xml:space="preserve">2–y </w:t>
            </w:r>
            <w:r>
              <w:rPr>
                <w:rFonts w:eastAsia="KIWFZJ+CMR10" w:cs="KIWFZJ+CMR10"/>
                <w:b w:val="false"/>
                <w:bCs w:val="false"/>
                <w:i/>
                <w:iCs/>
                <w:sz w:val="20"/>
                <w:szCs w:val="20"/>
                <w:lang w:val="sr-CS"/>
              </w:rPr>
              <w:t>Se</w:t>
            </w:r>
            <w:r>
              <w:rPr>
                <w:rFonts w:eastAsia="KIWFZJ+CMR10" w:cs="KIWFZJ+CMR10"/>
                <w:b w:val="false"/>
                <w:bCs w:val="false"/>
                <w:i/>
                <w:iCs/>
                <w:position w:val="-7"/>
                <w:sz w:val="20"/>
                <w:szCs w:val="20"/>
                <w:lang w:val="sr-CS"/>
              </w:rPr>
              <w:t>2</w:t>
            </w:r>
            <w:r>
              <w:rPr>
                <w:rFonts w:eastAsia="KIWFZJ+CMR10" w:cs="KIWFZJ+CMR10"/>
                <w:b w:val="false"/>
                <w:bCs w:val="false"/>
                <w:i/>
                <w:iCs/>
                <w:sz w:val="20"/>
                <w:szCs w:val="20"/>
                <w:lang w:val="sr-CS"/>
              </w:rPr>
              <w:t xml:space="preserve"> Single Crystals Near the Ferromagnet–paramagnet Transition</w:t>
            </w:r>
            <w:r>
              <w:rPr>
                <w:rFonts w:eastAsia="KIWFZJ+CMR10" w:cs="KIWFZJ+CMR10"/>
                <w:b w:val="false"/>
                <w:bCs w:val="false"/>
                <w:i w:val="false"/>
                <w:iCs w:val="false"/>
                <w:sz w:val="20"/>
                <w:szCs w:val="20"/>
                <w:lang w:val="sr-CS"/>
              </w:rPr>
              <w:t>, J. Phys. Cond. Matt. 28, 485401 (2016).</w:t>
            </w:r>
          </w:p>
        </w:tc>
        <w:tc>
          <w:tcPr>
            <w:tcW w:w="135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rFonts w:eastAsia="KIWFZJ+CMR10" w:cs="KIWFZJ+CMR10"/>
                <w:b w:val="false"/>
                <w:bCs w:val="false"/>
                <w:i w:val="false"/>
                <w:iCs w:val="false"/>
                <w:sz w:val="20"/>
                <w:szCs w:val="20"/>
                <w:lang w:val="sr-CS"/>
              </w:rPr>
              <w:t>IF=2.346</w:t>
            </w:r>
          </w:p>
          <w:p>
            <w:pPr>
              <w:pStyle w:val="Normal"/>
              <w:spacing w:before="0" w:after="60"/>
              <w:jc w:val="both"/>
              <w:rPr>
                <w:rFonts w:ascii="Times New Roman" w:hAnsi="Times New Roman"/>
              </w:rPr>
            </w:pPr>
            <w:r>
              <w:rPr>
                <w:rFonts w:eastAsia="KIWFZJ+CMR10" w:cs="KIWFZJ+CMR10"/>
                <w:b w:val="false"/>
                <w:bCs w:val="false"/>
                <w:i w:val="false"/>
                <w:iCs w:val="false"/>
                <w:sz w:val="20"/>
                <w:szCs w:val="20"/>
                <w:lang w:val="sr-CS"/>
              </w:rPr>
              <w:t>M21</w:t>
            </w:r>
          </w:p>
        </w:tc>
      </w:tr>
      <w:tr>
        <w:trPr>
          <w:trHeight w:val="227" w:hRule="atLeast"/>
        </w:trPr>
        <w:tc>
          <w:tcPr>
            <w:tcW w:w="627"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val="false"/>
                <w:bCs w:val="false"/>
                <w:sz w:val="20"/>
                <w:szCs w:val="20"/>
                <w:lang w:val="sr-CS"/>
              </w:rPr>
              <w:t>7</w:t>
            </w:r>
          </w:p>
        </w:tc>
        <w:tc>
          <w:tcPr>
            <w:tcW w:w="7650" w:type="dxa"/>
            <w:gridSpan w:val="7"/>
            <w:tcBorders>
              <w:top w:val="single" w:sz="4" w:space="0" w:color="000000"/>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rFonts w:eastAsia="KIWFZJ+CMR10" w:cs="KIWFZJ+CMR10"/>
                <w:b w:val="false"/>
                <w:bCs w:val="false"/>
                <w:i w:val="false"/>
                <w:iCs w:val="false"/>
                <w:sz w:val="20"/>
                <w:szCs w:val="20"/>
                <w:lang w:val="sr-CS"/>
              </w:rPr>
              <w:t xml:space="preserve">H. Braganca, M. C. O. Aguiar, J. Vučičević, D. Tanasković, and V. Dobrosavljević, </w:t>
            </w:r>
            <w:r>
              <w:rPr>
                <w:rFonts w:eastAsia="KIWFZJ+CMR10" w:cs="KIWFZJ+CMR10"/>
                <w:b w:val="false"/>
                <w:bCs w:val="false"/>
                <w:i/>
                <w:iCs/>
                <w:sz w:val="20"/>
                <w:szCs w:val="20"/>
                <w:lang w:val="sr-CS"/>
              </w:rPr>
              <w:t>Anderson Localization Effects Near the Mott Metal-insulator Transition</w:t>
            </w:r>
            <w:r>
              <w:rPr>
                <w:rFonts w:eastAsia="KIWFZJ+CMR10" w:cs="KIWFZJ+CMR10"/>
                <w:b w:val="false"/>
                <w:bCs w:val="false"/>
                <w:i w:val="false"/>
                <w:iCs w:val="false"/>
                <w:sz w:val="20"/>
                <w:szCs w:val="20"/>
                <w:lang w:val="sr-CS"/>
              </w:rPr>
              <w:t>, Phys. Rev. B 92, 125143(2015).</w:t>
            </w:r>
          </w:p>
        </w:tc>
        <w:tc>
          <w:tcPr>
            <w:tcW w:w="135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rFonts w:eastAsia="KIWFZJ+CMR10" w:cs="KIWFZJ+CMR10"/>
                <w:b w:val="false"/>
                <w:bCs w:val="false"/>
                <w:i w:val="false"/>
                <w:iCs w:val="false"/>
                <w:sz w:val="20"/>
                <w:szCs w:val="20"/>
                <w:lang w:val="sr-CS"/>
              </w:rPr>
              <w:t>IF=3.767</w:t>
            </w:r>
          </w:p>
          <w:p>
            <w:pPr>
              <w:pStyle w:val="Normal"/>
              <w:spacing w:before="0" w:after="60"/>
              <w:jc w:val="both"/>
              <w:rPr>
                <w:rFonts w:ascii="Times New Roman" w:hAnsi="Times New Roman"/>
              </w:rPr>
            </w:pPr>
            <w:r>
              <w:rPr>
                <w:rFonts w:eastAsia="KIWFZJ+CMR10" w:cs="KIWFZJ+CMR10"/>
                <w:b w:val="false"/>
                <w:bCs w:val="false"/>
                <w:i w:val="false"/>
                <w:iCs w:val="false"/>
                <w:sz w:val="20"/>
                <w:szCs w:val="20"/>
                <w:lang w:val="sr-CS"/>
              </w:rPr>
              <w:t>M21</w:t>
            </w:r>
          </w:p>
        </w:tc>
      </w:tr>
      <w:tr>
        <w:trPr>
          <w:trHeight w:val="227" w:hRule="atLeast"/>
        </w:trPr>
        <w:tc>
          <w:tcPr>
            <w:tcW w:w="627"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val="false"/>
                <w:bCs w:val="false"/>
                <w:sz w:val="20"/>
                <w:szCs w:val="20"/>
                <w:lang w:val="sr-CS"/>
              </w:rPr>
              <w:t>8</w:t>
            </w:r>
          </w:p>
        </w:tc>
        <w:tc>
          <w:tcPr>
            <w:tcW w:w="7650" w:type="dxa"/>
            <w:gridSpan w:val="7"/>
            <w:tcBorders>
              <w:top w:val="single" w:sz="4" w:space="0" w:color="000000"/>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rFonts w:eastAsia="KIWFZJ+CMR10" w:cs="KIWFZJ+CMR10"/>
                <w:b w:val="false"/>
                <w:bCs w:val="false"/>
                <w:i w:val="false"/>
                <w:iCs w:val="false"/>
                <w:sz w:val="20"/>
                <w:szCs w:val="20"/>
                <w:lang w:val="sr-CS"/>
              </w:rPr>
              <w:t xml:space="preserve">J. Vučičević, D. Tanasković, M. J. Rozenberg and V. Dobrosavljević, </w:t>
            </w:r>
            <w:r>
              <w:rPr>
                <w:rFonts w:eastAsia="KIWFZJ+CMR10" w:cs="KIWFZJ+CMR10"/>
                <w:b w:val="false"/>
                <w:bCs w:val="false"/>
                <w:i/>
                <w:iCs/>
                <w:sz w:val="20"/>
                <w:szCs w:val="20"/>
                <w:lang w:val="sr-CS"/>
              </w:rPr>
              <w:t>Bad-Metal Behavior Reveals Mott Quantum Criticality in Doped Hubbard Models</w:t>
            </w:r>
            <w:r>
              <w:rPr>
                <w:rFonts w:eastAsia="KIWFZJ+CMR10" w:cs="KIWFZJ+CMR10"/>
                <w:b w:val="false"/>
                <w:bCs w:val="false"/>
                <w:i w:val="false"/>
                <w:iCs w:val="false"/>
                <w:sz w:val="20"/>
                <w:szCs w:val="20"/>
                <w:lang w:val="sr-CS"/>
              </w:rPr>
              <w:t>, Phys. Rev. Lett. 114, 246402 (2015).</w:t>
            </w:r>
          </w:p>
        </w:tc>
        <w:tc>
          <w:tcPr>
            <w:tcW w:w="135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rFonts w:eastAsia="KIWFZJ+CMR10" w:cs="KIWFZJ+CMR10"/>
                <w:b w:val="false"/>
                <w:bCs w:val="false"/>
                <w:i w:val="false"/>
                <w:iCs w:val="false"/>
                <w:sz w:val="20"/>
                <w:szCs w:val="20"/>
                <w:lang w:val="sr-CS"/>
              </w:rPr>
              <w:t>IF=7.943</w:t>
            </w:r>
          </w:p>
          <w:p>
            <w:pPr>
              <w:pStyle w:val="Normal"/>
              <w:spacing w:before="0" w:after="60"/>
              <w:jc w:val="both"/>
              <w:rPr>
                <w:rFonts w:ascii="Times New Roman" w:hAnsi="Times New Roman"/>
              </w:rPr>
            </w:pPr>
            <w:r>
              <w:rPr>
                <w:rFonts w:eastAsia="KIWFZJ+CMR10" w:cs="KIWFZJ+CMR10"/>
                <w:b w:val="false"/>
                <w:bCs w:val="false"/>
                <w:i w:val="false"/>
                <w:iCs w:val="false"/>
                <w:sz w:val="20"/>
                <w:szCs w:val="20"/>
                <w:lang w:val="sr-CS"/>
              </w:rPr>
              <w:t>M21a</w:t>
            </w:r>
          </w:p>
        </w:tc>
      </w:tr>
      <w:tr>
        <w:trPr>
          <w:trHeight w:val="227" w:hRule="atLeast"/>
        </w:trPr>
        <w:tc>
          <w:tcPr>
            <w:tcW w:w="627" w:type="dxa"/>
            <w:tcBorders>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val="false"/>
                <w:bCs w:val="false"/>
                <w:sz w:val="20"/>
                <w:szCs w:val="20"/>
                <w:lang w:val="sr-CS"/>
              </w:rPr>
              <w:t>9</w:t>
            </w:r>
          </w:p>
        </w:tc>
        <w:tc>
          <w:tcPr>
            <w:tcW w:w="7650" w:type="dxa"/>
            <w:gridSpan w:val="7"/>
            <w:tcBorders>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rFonts w:eastAsia="KIWFZJ+CMR10" w:cs="KIWFZJ+CMR10"/>
                <w:b w:val="false"/>
                <w:bCs w:val="false"/>
                <w:i w:val="false"/>
                <w:iCs w:val="false"/>
                <w:sz w:val="20"/>
                <w:szCs w:val="20"/>
                <w:lang w:val="sr-CS"/>
              </w:rPr>
              <w:t xml:space="preserve">J. Vučičević, H. Terletska, D. Tanasković, and V. Dobrosavljević, </w:t>
            </w:r>
            <w:r>
              <w:rPr>
                <w:rFonts w:eastAsia="KIWFZJ+CMR10" w:cs="KIWFZJ+CMR10"/>
                <w:b w:val="false"/>
                <w:bCs w:val="false"/>
                <w:i/>
                <w:iCs/>
                <w:sz w:val="20"/>
                <w:szCs w:val="20"/>
                <w:lang w:val="sr-CS"/>
              </w:rPr>
              <w:t>Finite-temperature Crossover and the Quantum Widom Line Near the Mott Transition</w:t>
            </w:r>
            <w:r>
              <w:rPr>
                <w:rFonts w:eastAsia="KIWFZJ+CMR10" w:cs="KIWFZJ+CMR10"/>
                <w:b w:val="false"/>
                <w:bCs w:val="false"/>
                <w:i w:val="false"/>
                <w:iCs w:val="false"/>
                <w:sz w:val="20"/>
                <w:szCs w:val="20"/>
                <w:lang w:val="sr-CS"/>
              </w:rPr>
              <w:t>, Phys. Rev. B 88, 075143 (2013).</w:t>
            </w:r>
          </w:p>
        </w:tc>
        <w:tc>
          <w:tcPr>
            <w:tcW w:w="1353" w:type="dxa"/>
            <w:tcBorders>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rFonts w:eastAsia="KIWFZJ+CMR10" w:cs="KIWFZJ+CMR10"/>
                <w:b w:val="false"/>
                <w:bCs w:val="false"/>
                <w:i w:val="false"/>
                <w:iCs w:val="false"/>
                <w:sz w:val="20"/>
                <w:szCs w:val="20"/>
                <w:lang w:val="sr-CS"/>
              </w:rPr>
              <w:t>IF=3.767</w:t>
            </w:r>
          </w:p>
          <w:p>
            <w:pPr>
              <w:pStyle w:val="Normal"/>
              <w:spacing w:before="0" w:after="60"/>
              <w:jc w:val="both"/>
              <w:rPr>
                <w:rFonts w:ascii="Times New Roman" w:hAnsi="Times New Roman"/>
              </w:rPr>
            </w:pPr>
            <w:r>
              <w:rPr>
                <w:rFonts w:eastAsia="KIWFZJ+CMR10" w:cs="KIWFZJ+CMR10"/>
                <w:b w:val="false"/>
                <w:bCs w:val="false"/>
                <w:i w:val="false"/>
                <w:iCs w:val="false"/>
                <w:sz w:val="20"/>
                <w:szCs w:val="20"/>
                <w:lang w:val="sr-CS"/>
              </w:rPr>
              <w:t>M21</w:t>
            </w:r>
          </w:p>
        </w:tc>
      </w:tr>
      <w:tr>
        <w:trPr>
          <w:trHeight w:val="227" w:hRule="atLeast"/>
        </w:trPr>
        <w:tc>
          <w:tcPr>
            <w:tcW w:w="627" w:type="dxa"/>
            <w:tcBorders>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val="false"/>
                <w:bCs w:val="false"/>
                <w:sz w:val="20"/>
                <w:szCs w:val="20"/>
                <w:lang w:val="sr-CS"/>
              </w:rPr>
              <w:t>10</w:t>
            </w:r>
          </w:p>
        </w:tc>
        <w:tc>
          <w:tcPr>
            <w:tcW w:w="7650" w:type="dxa"/>
            <w:gridSpan w:val="7"/>
            <w:tcBorders>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rFonts w:eastAsia="KIWFZJ+CMR10" w:cs="KIWFZJ+CMR10"/>
                <w:b w:val="false"/>
                <w:bCs w:val="false"/>
                <w:i w:val="false"/>
                <w:iCs w:val="false"/>
                <w:sz w:val="20"/>
                <w:szCs w:val="20"/>
                <w:lang w:val="sr-Latn-RS"/>
              </w:rPr>
              <w:t xml:space="preserve">M. M. Radonjić, D. Tanasković, V. Dobrosavljević, G. Kotliar, and K. Haule, </w:t>
            </w:r>
            <w:r>
              <w:rPr>
                <w:rFonts w:eastAsia="KIWFZJ+CMR10" w:cs="KIWFZJ+CMR10"/>
                <w:b w:val="false"/>
                <w:bCs w:val="false"/>
                <w:i/>
                <w:iCs/>
                <w:color w:val="000000"/>
                <w:sz w:val="20"/>
                <w:szCs w:val="20"/>
                <w:u w:val="none"/>
                <w:lang w:val="sr-Latn-RS"/>
              </w:rPr>
              <w:t xml:space="preserve">Wigner-Mott Scaling of Transport Near the Two-dimensional Metal-insulator Transition, </w:t>
            </w:r>
            <w:r>
              <w:rPr>
                <w:rFonts w:eastAsia="KIWFZJ+CMR10" w:cs="KIWFZJ+CMR10"/>
                <w:b w:val="false"/>
                <w:bCs w:val="false"/>
                <w:i w:val="false"/>
                <w:iCs w:val="false"/>
                <w:color w:val="000000"/>
                <w:sz w:val="20"/>
                <w:szCs w:val="20"/>
                <w:u w:val="none"/>
                <w:lang w:val="sr-Latn-RS"/>
              </w:rPr>
              <w:t>Phys. Rev.B 85, 085133 (2012).</w:t>
            </w:r>
          </w:p>
        </w:tc>
        <w:tc>
          <w:tcPr>
            <w:tcW w:w="1353" w:type="dxa"/>
            <w:tcBorders>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rFonts w:eastAsia="KIWFZJ+CMR10" w:cs="KIWFZJ+CMR10"/>
                <w:b w:val="false"/>
                <w:bCs w:val="false"/>
                <w:i w:val="false"/>
                <w:iCs w:val="false"/>
                <w:color w:val="000000"/>
                <w:sz w:val="20"/>
                <w:szCs w:val="20"/>
                <w:u w:val="none"/>
                <w:lang w:val="sr-Latn-RS"/>
              </w:rPr>
              <w:t>IF=3.774</w:t>
            </w:r>
          </w:p>
          <w:p>
            <w:pPr>
              <w:pStyle w:val="Normal"/>
              <w:spacing w:before="0" w:after="60"/>
              <w:jc w:val="both"/>
              <w:rPr>
                <w:rFonts w:ascii="Times New Roman" w:hAnsi="Times New Roman"/>
              </w:rPr>
            </w:pPr>
            <w:r>
              <w:rPr>
                <w:rFonts w:eastAsia="KIWFZJ+CMR10" w:cs="KIWFZJ+CMR10"/>
                <w:b w:val="false"/>
                <w:bCs w:val="false"/>
                <w:i w:val="false"/>
                <w:iCs w:val="false"/>
                <w:color w:val="000000"/>
                <w:sz w:val="20"/>
                <w:szCs w:val="20"/>
                <w:u w:val="none"/>
                <w:lang w:val="sr-Latn-RS"/>
              </w:rPr>
              <w:t>M21</w:t>
            </w:r>
          </w:p>
        </w:tc>
      </w:tr>
      <w:tr>
        <w:trPr>
          <w:trHeight w:val="227" w:hRule="atLeast"/>
        </w:trPr>
        <w:tc>
          <w:tcPr>
            <w:tcW w:w="627" w:type="dxa"/>
            <w:tcBorders>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val="false"/>
                <w:bCs w:val="false"/>
                <w:sz w:val="20"/>
                <w:szCs w:val="20"/>
                <w:lang w:val="sr-CS"/>
              </w:rPr>
              <w:t>11</w:t>
            </w:r>
          </w:p>
        </w:tc>
        <w:tc>
          <w:tcPr>
            <w:tcW w:w="7650" w:type="dxa"/>
            <w:gridSpan w:val="7"/>
            <w:tcBorders>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rFonts w:eastAsia="KIWFZJ+CMR10" w:cs="KIWFZJ+CMR10"/>
                <w:b w:val="false"/>
                <w:bCs w:val="false"/>
                <w:i w:val="false"/>
                <w:iCs w:val="false"/>
                <w:color w:val="000000"/>
                <w:sz w:val="20"/>
                <w:szCs w:val="20"/>
                <w:u w:val="none"/>
                <w:lang w:val="sr-Latn-RS"/>
              </w:rPr>
              <w:t xml:space="preserve">D. Tanasković, K. Haule, G. Kotliar, and V. Dobrosavljević, </w:t>
            </w:r>
            <w:r>
              <w:rPr>
                <w:rFonts w:eastAsia="KIWFZJ+CMR10" w:cs="KIWFZJ+CMR10"/>
                <w:b w:val="false"/>
                <w:bCs w:val="false"/>
                <w:i/>
                <w:iCs/>
                <w:color w:val="000000"/>
                <w:sz w:val="20"/>
                <w:szCs w:val="20"/>
                <w:u w:val="none"/>
                <w:lang w:val="sr-Latn-RS"/>
              </w:rPr>
              <w:t>Phase diagram, energy scales and nonlocal correlations in the Anderson lattice mode</w:t>
            </w:r>
            <w:r>
              <w:rPr>
                <w:rFonts w:eastAsia="KIWFZJ+CMR10" w:cs="KIWFZJ+CMR10"/>
                <w:b w:val="false"/>
                <w:bCs w:val="false"/>
                <w:i w:val="false"/>
                <w:iCs w:val="false"/>
                <w:color w:val="000000"/>
                <w:sz w:val="20"/>
                <w:szCs w:val="20"/>
                <w:u w:val="none"/>
                <w:lang w:val="sr-Latn-RS"/>
              </w:rPr>
              <w:t>l,  Phys. Rev. B 84, 115105 (2011).</w:t>
            </w:r>
          </w:p>
        </w:tc>
        <w:tc>
          <w:tcPr>
            <w:tcW w:w="1353" w:type="dxa"/>
            <w:tcBorders>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rFonts w:eastAsia="KIWFZJ+CMR10" w:cs="KIWFZJ+CMR10"/>
                <w:b w:val="false"/>
                <w:bCs w:val="false"/>
                <w:i w:val="false"/>
                <w:iCs w:val="false"/>
                <w:color w:val="000000"/>
                <w:sz w:val="20"/>
                <w:szCs w:val="20"/>
                <w:u w:val="none"/>
                <w:lang w:val="sr-Latn-RS"/>
              </w:rPr>
              <w:t>IF=3.774</w:t>
            </w:r>
          </w:p>
          <w:p>
            <w:pPr>
              <w:pStyle w:val="Normal"/>
              <w:spacing w:before="0" w:after="60"/>
              <w:jc w:val="both"/>
              <w:rPr>
                <w:rFonts w:ascii="Times New Roman" w:hAnsi="Times New Roman"/>
              </w:rPr>
            </w:pPr>
            <w:r>
              <w:rPr>
                <w:rFonts w:eastAsia="KIWFZJ+CMR10" w:cs="KIWFZJ+CMR10"/>
                <w:b w:val="false"/>
                <w:bCs w:val="false"/>
                <w:i w:val="false"/>
                <w:iCs w:val="false"/>
                <w:color w:val="000000"/>
                <w:sz w:val="20"/>
                <w:szCs w:val="20"/>
                <w:u w:val="none"/>
                <w:lang w:val="sr-Latn-RS"/>
              </w:rPr>
              <w:t>M21</w:t>
            </w:r>
          </w:p>
        </w:tc>
      </w:tr>
      <w:tr>
        <w:trPr>
          <w:trHeight w:val="227" w:hRule="atLeast"/>
        </w:trPr>
        <w:tc>
          <w:tcPr>
            <w:tcW w:w="627"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val="false"/>
                <w:bCs w:val="false"/>
                <w:sz w:val="20"/>
                <w:szCs w:val="20"/>
                <w:lang w:val="sr-CS"/>
              </w:rPr>
              <w:t>12</w:t>
            </w:r>
          </w:p>
        </w:tc>
        <w:tc>
          <w:tcPr>
            <w:tcW w:w="7650" w:type="dxa"/>
            <w:gridSpan w:val="7"/>
            <w:tcBorders>
              <w:top w:val="single" w:sz="4" w:space="0" w:color="000000"/>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rFonts w:eastAsia="KIWFZJ+CMR10" w:cs="KIWFZJ+CMR10"/>
                <w:b w:val="false"/>
                <w:bCs w:val="false"/>
                <w:i w:val="false"/>
                <w:iCs w:val="false"/>
                <w:color w:val="000000"/>
                <w:sz w:val="20"/>
                <w:szCs w:val="20"/>
                <w:u w:val="none"/>
                <w:lang w:val="sr-Latn-RS"/>
              </w:rPr>
              <w:t xml:space="preserve">H. Terletska, J. Vučičević, D. Tanasković, and V. Dobrosavljević, </w:t>
            </w:r>
            <w:r>
              <w:rPr>
                <w:rFonts w:eastAsia="KIWFZJ+CMR10" w:cs="KIWFZJ+CMR10"/>
                <w:b w:val="false"/>
                <w:bCs w:val="false"/>
                <w:i/>
                <w:iCs/>
                <w:color w:val="000000"/>
                <w:sz w:val="20"/>
                <w:szCs w:val="20"/>
                <w:u w:val="none"/>
                <w:lang w:val="sr-Latn-RS"/>
              </w:rPr>
              <w:t>Quantum Critical Transport Near the Mott Transition</w:t>
            </w:r>
            <w:r>
              <w:rPr>
                <w:rFonts w:eastAsia="KIWFZJ+CMR10" w:cs="KIWFZJ+CMR10"/>
                <w:b w:val="false"/>
                <w:bCs w:val="false"/>
                <w:i w:val="false"/>
                <w:iCs w:val="false"/>
                <w:color w:val="000000"/>
                <w:sz w:val="20"/>
                <w:szCs w:val="20"/>
                <w:u w:val="none"/>
                <w:lang w:val="sr-Latn-RS"/>
              </w:rPr>
              <w:t>, Phys. Rev. Lett. 107, 026401 (2011).</w:t>
            </w:r>
          </w:p>
        </w:tc>
        <w:tc>
          <w:tcPr>
            <w:tcW w:w="135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jc w:val="both"/>
              <w:rPr>
                <w:rFonts w:ascii="Times New Roman" w:hAnsi="Times New Roman"/>
              </w:rPr>
            </w:pPr>
            <w:r>
              <w:rPr>
                <w:rFonts w:eastAsia="KIWFZJ+CMR10" w:cs="KIWFZJ+CMR10"/>
                <w:b w:val="false"/>
                <w:bCs w:val="false"/>
                <w:i w:val="false"/>
                <w:iCs w:val="false"/>
                <w:color w:val="000000"/>
                <w:sz w:val="20"/>
                <w:szCs w:val="20"/>
                <w:u w:val="none"/>
                <w:lang w:val="sr-Latn-RS"/>
              </w:rPr>
              <w:t>IF=7.62</w:t>
            </w:r>
          </w:p>
          <w:p>
            <w:pPr>
              <w:pStyle w:val="Normal"/>
              <w:spacing w:before="0" w:after="60"/>
              <w:jc w:val="both"/>
              <w:rPr>
                <w:rFonts w:ascii="Times New Roman" w:hAnsi="Times New Roman"/>
              </w:rPr>
            </w:pPr>
            <w:r>
              <w:rPr>
                <w:rFonts w:eastAsia="KIWFZJ+CMR10" w:cs="KIWFZJ+CMR10"/>
                <w:b w:val="false"/>
                <w:bCs w:val="false"/>
                <w:i w:val="false"/>
                <w:iCs w:val="false"/>
                <w:color w:val="000000"/>
                <w:sz w:val="20"/>
                <w:szCs w:val="20"/>
                <w:u w:val="none"/>
                <w:lang w:val="sr-Latn-RS"/>
              </w:rPr>
              <w:t>M21a</w:t>
            </w:r>
          </w:p>
        </w:tc>
      </w:tr>
      <w:tr>
        <w:trPr>
          <w:trHeight w:val="227" w:hRule="atLeast"/>
        </w:trPr>
        <w:tc>
          <w:tcPr>
            <w:tcW w:w="9630" w:type="dxa"/>
            <w:gridSpan w:val="9"/>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sz w:val="20"/>
                <w:szCs w:val="20"/>
                <w:lang w:val="en-US"/>
              </w:rPr>
              <w:t>Cumulative data of scientific activity of the teacher</w:t>
            </w:r>
          </w:p>
        </w:tc>
      </w:tr>
      <w:tr>
        <w:trPr>
          <w:trHeight w:val="227" w:hRule="atLeast"/>
        </w:trPr>
        <w:tc>
          <w:tcPr>
            <w:tcW w:w="9630" w:type="dxa"/>
            <w:gridSpan w:val="9"/>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sz w:val="20"/>
                <w:szCs w:val="20"/>
                <w:lang w:val="en-US"/>
              </w:rPr>
              <w:t>Cumulative data of scientific activity of the teacher</w:t>
            </w:r>
          </w:p>
        </w:tc>
      </w:tr>
      <w:tr>
        <w:trPr>
          <w:trHeight w:val="227" w:hRule="atLeast"/>
        </w:trPr>
        <w:tc>
          <w:tcPr>
            <w:tcW w:w="6569" w:type="dxa"/>
            <w:gridSpan w:val="5"/>
            <w:tcBorders>
              <w:top w:val="single" w:sz="4" w:space="0" w:color="000000"/>
              <w:left w:val="single" w:sz="4" w:space="0" w:color="000000"/>
              <w:bottom w:val="single" w:sz="4" w:space="0" w:color="000000"/>
              <w:right w:val="single" w:sz="4" w:space="0" w:color="000000"/>
            </w:tcBorders>
          </w:tcPr>
          <w:p>
            <w:pPr>
              <w:pStyle w:val="Normal"/>
              <w:rPr>
                <w:rFonts w:ascii="Times New Roman" w:hAnsi="Times New Roman"/>
              </w:rPr>
            </w:pPr>
            <w:r>
              <w:rPr>
                <w:sz w:val="20"/>
                <w:szCs w:val="20"/>
                <w:lang w:val="en-US"/>
              </w:rPr>
              <w:t>Total number of citations, without self citations</w:t>
            </w:r>
          </w:p>
        </w:tc>
        <w:tc>
          <w:tcPr>
            <w:tcW w:w="3061" w:type="dxa"/>
            <w:gridSpan w:val="4"/>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val="false"/>
                <w:bCs w:val="false"/>
                <w:sz w:val="20"/>
                <w:szCs w:val="20"/>
                <w:lang w:val="en-US"/>
              </w:rPr>
              <w:t>523</w:t>
            </w:r>
          </w:p>
        </w:tc>
      </w:tr>
      <w:tr>
        <w:trPr>
          <w:trHeight w:val="227" w:hRule="atLeast"/>
        </w:trPr>
        <w:tc>
          <w:tcPr>
            <w:tcW w:w="6569" w:type="dxa"/>
            <w:gridSpan w:val="5"/>
            <w:tcBorders>
              <w:top w:val="single" w:sz="4" w:space="0" w:color="000000"/>
              <w:left w:val="single" w:sz="4" w:space="0" w:color="000000"/>
              <w:bottom w:val="single" w:sz="4" w:space="0" w:color="000000"/>
              <w:right w:val="single" w:sz="4" w:space="0" w:color="000000"/>
            </w:tcBorders>
          </w:tcPr>
          <w:p>
            <w:pPr>
              <w:pStyle w:val="Normal"/>
              <w:rPr>
                <w:rFonts w:ascii="Times New Roman" w:hAnsi="Times New Roman"/>
              </w:rPr>
            </w:pPr>
            <w:r>
              <w:rPr>
                <w:sz w:val="20"/>
                <w:szCs w:val="20"/>
                <w:lang w:val="en-US"/>
              </w:rPr>
              <w:t>Total number of papers on the SCI (or SSCI) list</w:t>
            </w:r>
          </w:p>
        </w:tc>
        <w:tc>
          <w:tcPr>
            <w:tcW w:w="3061" w:type="dxa"/>
            <w:gridSpan w:val="4"/>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b w:val="false"/>
                <w:bCs w:val="false"/>
                <w:sz w:val="20"/>
                <w:szCs w:val="20"/>
                <w:lang w:val="en-US"/>
              </w:rPr>
              <w:t>29</w:t>
            </w:r>
          </w:p>
        </w:tc>
      </w:tr>
      <w:tr>
        <w:trPr>
          <w:trHeight w:val="227" w:hRule="atLeast"/>
        </w:trPr>
        <w:tc>
          <w:tcPr>
            <w:tcW w:w="6569" w:type="dxa"/>
            <w:gridSpan w:val="5"/>
            <w:tcBorders>
              <w:top w:val="single" w:sz="4" w:space="0" w:color="000000"/>
              <w:left w:val="single" w:sz="4" w:space="0" w:color="000000"/>
              <w:bottom w:val="single" w:sz="4" w:space="0" w:color="000000"/>
              <w:right w:val="single" w:sz="4" w:space="0" w:color="000000"/>
            </w:tcBorders>
          </w:tcPr>
          <w:p>
            <w:pPr>
              <w:pStyle w:val="Normal"/>
              <w:rPr>
                <w:rFonts w:ascii="Times New Roman" w:hAnsi="Times New Roman"/>
              </w:rPr>
            </w:pPr>
            <w:r>
              <w:rPr>
                <w:sz w:val="20"/>
                <w:szCs w:val="20"/>
                <w:lang w:val="en-US"/>
              </w:rPr>
              <w:t>Current participation in projects</w:t>
            </w:r>
          </w:p>
        </w:tc>
        <w:tc>
          <w:tcPr>
            <w:tcW w:w="721"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sz w:val="20"/>
                <w:szCs w:val="20"/>
                <w:lang w:val="en-US"/>
              </w:rPr>
              <w:t xml:space="preserve">Domestic </w:t>
            </w:r>
          </w:p>
        </w:tc>
        <w:tc>
          <w:tcPr>
            <w:tcW w:w="234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rPr>
            </w:pPr>
            <w:r>
              <w:rPr>
                <w:sz w:val="20"/>
                <w:szCs w:val="20"/>
                <w:lang w:val="en-US"/>
              </w:rPr>
              <w:t>international</w:t>
            </w:r>
          </w:p>
        </w:tc>
      </w:tr>
      <w:tr>
        <w:trPr>
          <w:trHeight w:val="227" w:hRule="atLeast"/>
        </w:trPr>
        <w:tc>
          <w:tcPr>
            <w:tcW w:w="6569" w:type="dxa"/>
            <w:gridSpan w:val="5"/>
            <w:tcBorders>
              <w:top w:val="single" w:sz="4" w:space="0" w:color="000000"/>
              <w:left w:val="single" w:sz="4" w:space="0" w:color="000000"/>
              <w:bottom w:val="single" w:sz="4" w:space="0" w:color="000000"/>
              <w:right w:val="single" w:sz="4" w:space="0" w:color="000000"/>
            </w:tcBorders>
          </w:tcPr>
          <w:p>
            <w:pPr>
              <w:pStyle w:val="Normal"/>
              <w:rPr>
                <w:rFonts w:ascii="Times New Roman" w:hAnsi="Times New Roman"/>
              </w:rPr>
            </w:pPr>
            <w:r>
              <w:rPr>
                <w:sz w:val="20"/>
                <w:szCs w:val="20"/>
                <w:lang w:val="en-US"/>
              </w:rPr>
              <w:t xml:space="preserve">Specialization </w:t>
            </w:r>
          </w:p>
          <w:p>
            <w:pPr>
              <w:pStyle w:val="Normal"/>
              <w:rPr>
                <w:rFonts w:ascii="Times New Roman" w:hAnsi="Times New Roman"/>
              </w:rPr>
            </w:pPr>
            <w:r>
              <w:rPr>
                <w:b w:val="false"/>
                <w:i w:val="false"/>
                <w:strike w:val="false"/>
                <w:dstrike w:val="false"/>
                <w:outline w:val="false"/>
                <w:shadow w:val="false"/>
                <w:sz w:val="20"/>
                <w:szCs w:val="20"/>
                <w:u w:val="none"/>
                <w:em w:val="none"/>
                <w:lang w:val="en-US"/>
              </w:rPr>
              <w:t xml:space="preserve">Postdoctoral researcher, Ohio State University, USA (2005-2006)                                                                               </w:t>
            </w:r>
            <w:r>
              <w:rPr>
                <w:b w:val="false"/>
                <w:i w:val="false"/>
                <w:strike w:val="false"/>
                <w:dstrike w:val="false"/>
                <w:outline w:val="false"/>
                <w:shadow w:val="false"/>
                <w:sz w:val="20"/>
                <w:szCs w:val="20"/>
                <w:u w:val="none"/>
                <w:em w:val="none"/>
              </w:rPr>
              <w:t>Institute for Complex Adaptive Matter “I2CAM” Junior Fellow (2009)</w:t>
            </w:r>
          </w:p>
        </w:tc>
        <w:tc>
          <w:tcPr>
            <w:tcW w:w="721"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b/>
                <w:b/>
                <w:sz w:val="22"/>
                <w:szCs w:val="22"/>
                <w:lang w:val="en-US"/>
              </w:rPr>
            </w:pPr>
            <w:r>
              <w:rPr>
                <w:b/>
                <w:sz w:val="22"/>
                <w:szCs w:val="22"/>
                <w:lang w:val="en-US"/>
              </w:rPr>
            </w:r>
          </w:p>
        </w:tc>
        <w:tc>
          <w:tcPr>
            <w:tcW w:w="234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b/>
                <w:b/>
                <w:sz w:val="22"/>
                <w:szCs w:val="22"/>
                <w:lang w:val="en-US"/>
              </w:rPr>
            </w:pPr>
            <w:r>
              <w:rPr>
                <w:b/>
                <w:sz w:val="22"/>
                <w:szCs w:val="22"/>
                <w:lang w:val="en-US"/>
              </w:rPr>
            </w:r>
          </w:p>
        </w:tc>
      </w:tr>
      <w:tr>
        <w:trPr>
          <w:trHeight w:val="227" w:hRule="atLeast"/>
        </w:trPr>
        <w:tc>
          <w:tcPr>
            <w:tcW w:w="6569" w:type="dxa"/>
            <w:gridSpan w:val="5"/>
            <w:tcBorders>
              <w:top w:val="single" w:sz="4" w:space="0" w:color="000000"/>
              <w:left w:val="single" w:sz="4" w:space="0" w:color="000000"/>
              <w:bottom w:val="single" w:sz="4" w:space="0" w:color="000000"/>
              <w:right w:val="single" w:sz="4" w:space="0" w:color="000000"/>
            </w:tcBorders>
          </w:tcPr>
          <w:p>
            <w:pPr>
              <w:pStyle w:val="Normal"/>
              <w:rPr>
                <w:rFonts w:ascii="Times New Roman" w:hAnsi="Times New Roman"/>
              </w:rPr>
            </w:pPr>
            <w:r>
              <w:rPr>
                <w:sz w:val="20"/>
                <w:szCs w:val="20"/>
                <w:lang w:val="en-US"/>
              </w:rPr>
              <w:t>Other information you consider to be important</w:t>
            </w:r>
          </w:p>
          <w:p>
            <w:pPr>
              <w:pStyle w:val="Normal"/>
              <w:rPr>
                <w:rFonts w:ascii="Times New Roman" w:hAnsi="Times New Roman"/>
              </w:rPr>
            </w:pPr>
            <w:r>
              <w:rPr>
                <w:b w:val="false"/>
                <w:i w:val="false"/>
                <w:strike w:val="false"/>
                <w:dstrike w:val="false"/>
                <w:outline w:val="false"/>
                <w:shadow w:val="false"/>
                <w:sz w:val="20"/>
                <w:szCs w:val="20"/>
                <w:u w:val="none"/>
                <w:em w:val="none"/>
                <w:lang w:val="en-US"/>
              </w:rPr>
              <w:t xml:space="preserve">Bilateral project with France 2012-2013, principal investigator </w:t>
            </w:r>
          </w:p>
          <w:p>
            <w:pPr>
              <w:pStyle w:val="Normal"/>
              <w:rPr>
                <w:rFonts w:ascii="Times New Roman" w:hAnsi="Times New Roman"/>
              </w:rPr>
            </w:pPr>
            <w:r>
              <w:rPr>
                <w:b w:val="false"/>
                <w:i w:val="false"/>
                <w:strike w:val="false"/>
                <w:dstrike w:val="false"/>
                <w:outline w:val="false"/>
                <w:shadow w:val="false"/>
                <w:sz w:val="20"/>
                <w:szCs w:val="20"/>
                <w:u w:val="none"/>
                <w:em w:val="none"/>
                <w:lang w:val="en-US"/>
              </w:rPr>
              <w:t xml:space="preserve">Bilateral project with Slovenia 2016-2017, principal investigator </w:t>
            </w:r>
          </w:p>
        </w:tc>
        <w:tc>
          <w:tcPr>
            <w:tcW w:w="3061" w:type="dxa"/>
            <w:gridSpan w:val="4"/>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b/>
                <w:b/>
                <w:sz w:val="22"/>
                <w:szCs w:val="22"/>
                <w:lang w:val="en-US"/>
              </w:rPr>
            </w:pPr>
            <w:r>
              <w:rPr>
                <w:b/>
                <w:sz w:val="22"/>
                <w:szCs w:val="22"/>
                <w:lang w:val="en-US"/>
              </w:rPr>
            </w:r>
          </w:p>
        </w:tc>
      </w:tr>
    </w:tbl>
    <w:p>
      <w:pPr>
        <w:pStyle w:val="Normal"/>
        <w:rPr>
          <w:rFonts w:ascii="Times New Roman" w:hAnsi="Times New Roman"/>
        </w:rPr>
      </w:pPr>
      <w:r>
        <w:rPr/>
      </w:r>
    </w:p>
    <w:sectPr>
      <w:type w:val="nextPage"/>
      <w:pgSz w:w="11906" w:h="16838"/>
      <w:pgMar w:left="1440" w:right="1440" w:header="0" w:top="144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Liberation Sans">
    <w:altName w:val="Arial"/>
    <w:charset w:val="01"/>
    <w:family w:val="roman"/>
    <w:pitch w:val="variable"/>
  </w:font>
</w:fonts>
</file>

<file path=word/settings.xml><?xml version="1.0" encoding="utf-8"?>
<w:settings xmlns:w="http://schemas.openxmlformats.org/wordprocessingml/2006/main">
  <w:zoom w:percent="150"/>
  <w:defaultTabStop w:val="408"/>
  <w:autoHyphenation w:val="tru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GB"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7c3cb8"/>
    <w:pPr>
      <w:widowControl w:val="false"/>
      <w:suppressAutoHyphens w:val="true"/>
      <w:bidi w:val="0"/>
      <w:spacing w:lineRule="auto" w:line="240" w:before="0" w:after="0"/>
      <w:jc w:val="left"/>
    </w:pPr>
    <w:rPr>
      <w:rFonts w:ascii="Times New Roman" w:hAnsi="Times New Roman" w:eastAsia="Cambria" w:cs="Times New Roman"/>
      <w:color w:val="auto"/>
      <w:kern w:val="0"/>
      <w:sz w:val="20"/>
      <w:szCs w:val="20"/>
      <w:lang w:val="sr-Latn-CS" w:eastAsia="sr-Latn-CS" w:bidi="ar-SA"/>
    </w:rPr>
  </w:style>
  <w:style w:type="character" w:styleId="DefaultParagraphFont" w:default="1">
    <w:name w:val="Default Paragraph Font"/>
    <w:uiPriority w:val="1"/>
    <w:semiHidden/>
    <w:unhideWhenUsed/>
    <w:qFormat/>
    <w:rPr/>
  </w:style>
  <w:style w:type="character" w:styleId="InternetLink">
    <w:name w:val="Hyperlink"/>
    <w:rPr>
      <w:color w:val="000080"/>
      <w:u w:val="single"/>
      <w:lang w:val="zxx" w:eastAsia="zxx" w:bidi="zxx"/>
    </w:rPr>
  </w:style>
  <w:style w:type="character" w:styleId="WW8Num10z0">
    <w:name w:val="WW8Num10z0"/>
    <w:qFormat/>
    <w:rPr>
      <w:rFonts w:ascii="Times New Roman" w:hAnsi="Times New Roman" w:cs="Times New Roman"/>
      <w:b/>
      <w:bCs/>
      <w:sz w:val="24"/>
      <w:szCs w:val="24"/>
      <w:lang w:val="sr-Latn-RS"/>
    </w:rPr>
  </w:style>
  <w:style w:type="character" w:styleId="WW8Num10z1">
    <w:name w:val="WW8Num10z1"/>
    <w:qFormat/>
    <w:rPr/>
  </w:style>
  <w:style w:type="character" w:styleId="WW8Num10z2">
    <w:name w:val="WW8Num10z2"/>
    <w:qFormat/>
    <w:rPr/>
  </w:style>
  <w:style w:type="character" w:styleId="WW8Num10z3">
    <w:name w:val="WW8Num10z3"/>
    <w:qFormat/>
    <w:rPr/>
  </w:style>
  <w:style w:type="character" w:styleId="WW8Num10z4">
    <w:name w:val="WW8Num10z4"/>
    <w:qFormat/>
    <w:rPr/>
  </w:style>
  <w:style w:type="character" w:styleId="WW8Num10z5">
    <w:name w:val="WW8Num10z5"/>
    <w:qFormat/>
    <w:rPr/>
  </w:style>
  <w:style w:type="character" w:styleId="WW8Num10z6">
    <w:name w:val="WW8Num10z6"/>
    <w:qFormat/>
    <w:rPr/>
  </w:style>
  <w:style w:type="character" w:styleId="WW8Num10z7">
    <w:name w:val="WW8Num10z7"/>
    <w:qFormat/>
    <w:rPr/>
  </w:style>
  <w:style w:type="character" w:styleId="WW8Num10z8">
    <w:name w:val="WW8Num10z8"/>
    <w:qFormat/>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TableContents">
    <w:name w:val="Table Contents"/>
    <w:basedOn w:val="Normal"/>
    <w:qFormat/>
    <w:pPr>
      <w:suppressLineNumbers/>
    </w:pPr>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numbering" w:styleId="WW8Num10">
    <w:name w:val="WW8Num10"/>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Application>LibreOffice/6.4.7.2$Linux_X86_64 LibreOffice_project/40$Build-2</Application>
  <Pages>4</Pages>
  <Words>1499</Words>
  <Characters>8921</Characters>
  <CharactersWithSpaces>10398</CharactersWithSpaces>
  <Paragraphs>223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2021-04-29T10:18:00Z</dcterms:created>
  <dc:creator>Windows User</dc:creator>
  <dc:description/>
  <dc:language>en-US</dc:language>
  <cp:lastModifiedBy/>
  <dcterms:modified xsi:type="dcterms:W3CDTF">2021-05-05T08:53:23Z</dcterms:modified>
  <cp:revision>21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